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0DDD7" w14:textId="4AC9039E" w:rsidR="002526B9" w:rsidRDefault="004C7DAE">
      <w:pPr>
        <w:rPr>
          <w:rFonts w:ascii="Times New Roman" w:eastAsia="Times New Roman" w:hAnsi="Times New Roman" w:cs="Times New Roman"/>
          <w:sz w:val="20"/>
          <w:szCs w:val="20"/>
        </w:rPr>
      </w:pPr>
      <w:r>
        <w:rPr>
          <w:rFonts w:ascii="Times New Roman" w:hAnsi="Times New Roman"/>
          <w:noProof/>
          <w:sz w:val="20"/>
        </w:rPr>
        <w:drawing>
          <wp:anchor distT="0" distB="0" distL="114300" distR="114300" simplePos="0" relativeHeight="251656192" behindDoc="0" locked="0" layoutInCell="1" allowOverlap="1" wp14:anchorId="45CCBEC7" wp14:editId="29466773">
            <wp:simplePos x="0" y="0"/>
            <wp:positionH relativeFrom="column">
              <wp:posOffset>4719955</wp:posOffset>
            </wp:positionH>
            <wp:positionV relativeFrom="paragraph">
              <wp:posOffset>-220980</wp:posOffset>
            </wp:positionV>
            <wp:extent cx="2223770" cy="1367155"/>
            <wp:effectExtent l="0" t="0" r="5080" b="4445"/>
            <wp:wrapNone/>
            <wp:docPr id="2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770" cy="13671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Times New Roman" w:hAnsi="Times New Roman"/>
          <w:noProof/>
          <w:sz w:val="20"/>
        </w:rPr>
        <mc:AlternateContent>
          <mc:Choice Requires="wps">
            <w:drawing>
              <wp:anchor distT="0" distB="0" distL="114300" distR="114300" simplePos="0" relativeHeight="251657216" behindDoc="0" locked="0" layoutInCell="1" allowOverlap="1" wp14:anchorId="30BE0B28" wp14:editId="7BBEF7EF">
                <wp:simplePos x="0" y="0"/>
                <wp:positionH relativeFrom="column">
                  <wp:posOffset>-825500</wp:posOffset>
                </wp:positionH>
                <wp:positionV relativeFrom="paragraph">
                  <wp:posOffset>-220576</wp:posOffset>
                </wp:positionV>
                <wp:extent cx="5545455" cy="1367155"/>
                <wp:effectExtent l="0" t="0" r="0" b="4445"/>
                <wp:wrapNone/>
                <wp:docPr id="2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5455" cy="1367155"/>
                        </a:xfrm>
                        <a:custGeom>
                          <a:avLst/>
                          <a:gdLst>
                            <a:gd name="T0" fmla="*/ 0 w 8733"/>
                            <a:gd name="T1" fmla="+- 0 3642 1489"/>
                            <a:gd name="T2" fmla="*/ 3642 h 2153"/>
                            <a:gd name="T3" fmla="*/ 8733 w 8733"/>
                            <a:gd name="T4" fmla="+- 0 3642 1489"/>
                            <a:gd name="T5" fmla="*/ 3642 h 2153"/>
                            <a:gd name="T6" fmla="*/ 8733 w 8733"/>
                            <a:gd name="T7" fmla="+- 0 1489 1489"/>
                            <a:gd name="T8" fmla="*/ 1489 h 2153"/>
                            <a:gd name="T9" fmla="*/ 0 w 8733"/>
                            <a:gd name="T10" fmla="+- 0 1489 1489"/>
                            <a:gd name="T11" fmla="*/ 1489 h 2153"/>
                            <a:gd name="T12" fmla="*/ 0 w 8733"/>
                            <a:gd name="T13" fmla="+- 0 3642 1489"/>
                            <a:gd name="T14" fmla="*/ 3642 h 2153"/>
                          </a:gdLst>
                          <a:ahLst/>
                          <a:cxnLst>
                            <a:cxn ang="0">
                              <a:pos x="T0" y="T2"/>
                            </a:cxn>
                            <a:cxn ang="0">
                              <a:pos x="T3" y="T5"/>
                            </a:cxn>
                            <a:cxn ang="0">
                              <a:pos x="T6" y="T8"/>
                            </a:cxn>
                            <a:cxn ang="0">
                              <a:pos x="T9" y="T11"/>
                            </a:cxn>
                            <a:cxn ang="0">
                              <a:pos x="T12" y="T14"/>
                            </a:cxn>
                          </a:cxnLst>
                          <a:rect l="0" t="0" r="r" b="b"/>
                          <a:pathLst>
                            <a:path w="8733" h="2153">
                              <a:moveTo>
                                <a:pt x="0" y="2153"/>
                              </a:moveTo>
                              <a:lnTo>
                                <a:pt x="8733" y="2153"/>
                              </a:lnTo>
                              <a:lnTo>
                                <a:pt x="8733" y="0"/>
                              </a:lnTo>
                              <a:lnTo>
                                <a:pt x="0" y="0"/>
                              </a:lnTo>
                              <a:lnTo>
                                <a:pt x="0" y="2153"/>
                              </a:lnTo>
                              <a:close/>
                            </a:path>
                          </a:pathLst>
                        </a:custGeom>
                        <a:solidFill>
                          <a:schemeClr val="tx1">
                            <a:lumMod val="85000"/>
                            <a:lumOff val="15000"/>
                            <a:alpha val="90000"/>
                          </a:schemeClr>
                        </a:solidFill>
                        <a:ln>
                          <a:noFill/>
                        </a:ln>
                      </wps:spPr>
                      <wps:bodyPr rot="0" vert="horz" wrap="square" lIns="91440" tIns="45720" rIns="91440" bIns="45720" anchor="t" anchorCtr="0" upright="1">
                        <a:noAutofit/>
                      </wps:bodyPr>
                    </wps:wsp>
                  </a:graphicData>
                </a:graphic>
              </wp:anchor>
            </w:drawing>
          </mc:Choice>
          <mc:Fallback>
            <w:pict>
              <v:shape w14:anchorId="4B41E268" id="Freeform 28" o:spid="_x0000_s1026" style="position:absolute;margin-left:-65pt;margin-top:-17.35pt;width:436.65pt;height:107.6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8733,2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" path="m,2153r8733,l8733,,,,,2153xe" fillcolor="#272727 [2749]" stroked="f">
                <v:fill opacity="59110f"/>
                <v:path arrowok="t" o:connecttype="custom" o:connectlocs="0,2312670;5545455,2312670;5545455,945515;0,945515;0,2312670" o:connectangles="0,0,0,0,0"/>
              </v:shape>
            </w:pict>
          </mc:Fallback>
        </mc:AlternateContent>
      </w:r>
      <w:r>
        <w:rPr>
          <w:rFonts w:ascii="Times New Roman" w:hAnsi="Times New Roman"/>
          <w:noProof/>
          <w:sz w:val="20"/>
        </w:rPr>
        <mc:AlternateContent>
          <mc:Choice Requires="wps">
            <w:drawing>
              <wp:anchor distT="0" distB="0" distL="114300" distR="114300" simplePos="0" relativeHeight="251658240" behindDoc="0" locked="0" layoutInCell="1" allowOverlap="1" wp14:anchorId="5661D88A" wp14:editId="702C21A5">
                <wp:simplePos x="0" y="0"/>
                <wp:positionH relativeFrom="page">
                  <wp:align>right</wp:align>
                </wp:positionH>
                <wp:positionV relativeFrom="paragraph">
                  <wp:posOffset>-329623</wp:posOffset>
                </wp:positionV>
                <wp:extent cx="7769225" cy="1657350"/>
                <wp:effectExtent l="0" t="0" r="3175"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922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CBB13" w14:textId="77777777" w:rsidR="002526B9" w:rsidRDefault="002526B9">
                            <w:pPr>
                              <w:spacing w:before="5"/>
                              <w:rPr>
                                <w:rFonts w:ascii="Calibri" w:eastAsia="Calibri" w:hAnsi="Calibri" w:cs="Calibri"/>
                                <w:sz w:val="48"/>
                                <w:szCs w:val="48"/>
                              </w:rPr>
                            </w:pPr>
                          </w:p>
                          <w:p w14:paraId="02F186B2" w14:textId="0DB8FF4A" w:rsidR="002526B9" w:rsidRDefault="00DA4C6C">
                            <w:pPr>
                              <w:spacing w:line="258" w:lineRule="auto"/>
                              <w:ind w:left="883" w:right="4443"/>
                              <w:rPr>
                                <w:rFonts w:ascii="Arial" w:eastAsia="Arial" w:hAnsi="Arial" w:cs="Arial"/>
                                <w:sz w:val="36"/>
                                <w:szCs w:val="36"/>
                              </w:rPr>
                            </w:pPr>
                            <w:r>
                              <w:rPr>
                                <w:rFonts w:ascii="Arial"/>
                                <w:color w:val="FFFFFF"/>
                                <w:sz w:val="36"/>
                              </w:rPr>
                              <w:t xml:space="preserve">MISES </w:t>
                            </w:r>
                            <w:r>
                              <w:rPr>
                                <w:rFonts w:ascii="Arial"/>
                                <w:color w:val="FFFFFF"/>
                                <w:sz w:val="36"/>
                              </w:rPr>
                              <w:t>À</w:t>
                            </w:r>
                            <w:r>
                              <w:rPr>
                                <w:rFonts w:ascii="Arial"/>
                                <w:color w:val="FFFFFF"/>
                                <w:sz w:val="36"/>
                              </w:rPr>
                              <w:t xml:space="preserve"> JOUR DES LIGNES DIRECTRICES DE L</w:t>
                            </w:r>
                            <w:r>
                              <w:rPr>
                                <w:rFonts w:ascii="Arial"/>
                                <w:color w:val="FFFFFF"/>
                                <w:sz w:val="36"/>
                              </w:rPr>
                              <w:t>’</w:t>
                            </w:r>
                            <w:r>
                              <w:rPr>
                                <w:rFonts w:ascii="Arial"/>
                                <w:color w:val="FFFFFF"/>
                                <w:sz w:val="36"/>
                              </w:rPr>
                              <w:t>ISS ET DE GLASS LEWIS POUR 2022 (CANADA)</w:t>
                            </w:r>
                          </w:p>
                          <w:p w14:paraId="06C91663" w14:textId="099DE26F" w:rsidR="002526B9" w:rsidRPr="001D5482" w:rsidRDefault="006512C6" w:rsidP="003E388B">
                            <w:pPr>
                              <w:ind w:left="883"/>
                              <w:rPr>
                                <w:rFonts w:ascii="Calibri Light" w:eastAsia="Calibri Light" w:hAnsi="Calibri Light" w:cs="Calibri Light"/>
                                <w:iCs/>
                              </w:rPr>
                            </w:pPr>
                            <w:r>
                              <w:rPr>
                                <w:rFonts w:ascii="Calibri Light"/>
                                <w:color w:val="FFFFFF"/>
                              </w:rPr>
                              <w:t>Par : Richard Liu et Michael Small | Janvier 2022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61D88A" id="_x0000_t202" coordsize="21600,21600" o:spt="202" path="m,l,21600r21600,l21600,xe">
                <v:stroke joinstyle="miter"/>
                <v:path gradientshapeok="t" o:connecttype="rect"/>
              </v:shapetype>
              <v:shape id="Text Box 25" o:spid="_x0000_s1026" type="#_x0000_t202" style="position:absolute;margin-left:560.55pt;margin-top:-25.95pt;width:611.75pt;height:130.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" filled="f" stroked="f">
                <v:textbox inset="0,0,0,0">
                  <w:txbxContent>
                    <w:p w14:paraId="058CBB13" w14:textId="77777777" w:rsidR="002526B9" w:rsidRDefault="002526B9">
                      <w:pPr>
                        <w:spacing w:before="5"/>
                        <w:rPr>
                          <w:rFonts w:ascii="Calibri" w:eastAsia="Calibri" w:hAnsi="Calibri" w:cs="Calibri"/>
                          <w:sz w:val="48"/>
                          <w:szCs w:val="48"/>
                        </w:rPr>
                      </w:pPr>
                    </w:p>
                    <w:p w14:paraId="02F186B2" w14:textId="0DB8FF4A" w:rsidR="002526B9" w:rsidRDefault="00DA4C6C">
                      <w:pPr>
                        <w:spacing w:line="258" w:lineRule="auto"/>
                        <w:ind w:left="883" w:right="4443"/>
                        <w:rPr>
                          <w:rFonts w:ascii="Arial" w:eastAsia="Arial" w:hAnsi="Arial" w:cs="Arial"/>
                          <w:sz w:val="36"/>
                          <w:szCs w:val="36"/>
                        </w:rPr>
                      </w:pPr>
                      <w:r>
                        <w:rPr>
                          <w:rFonts w:ascii="Arial"/>
                          <w:color w:val="FFFFFF"/>
                          <w:sz w:val="36"/>
                        </w:rPr>
                        <w:t xml:space="preserve">MISES </w:t>
                      </w:r>
                      <w:r>
                        <w:rPr>
                          <w:rFonts w:ascii="Arial"/>
                          <w:color w:val="FFFFFF"/>
                          <w:sz w:val="36"/>
                        </w:rPr>
                        <w:t>À</w:t>
                      </w:r>
                      <w:r>
                        <w:rPr>
                          <w:rFonts w:ascii="Arial"/>
                          <w:color w:val="FFFFFF"/>
                          <w:sz w:val="36"/>
                        </w:rPr>
                        <w:t xml:space="preserve"> JOUR DES LIGNES DIRECTRICES DE L</w:t>
                      </w:r>
                      <w:r>
                        <w:rPr>
                          <w:rFonts w:ascii="Arial"/>
                          <w:color w:val="FFFFFF"/>
                          <w:sz w:val="36"/>
                        </w:rPr>
                        <w:t>’</w:t>
                      </w:r>
                      <w:r>
                        <w:rPr>
                          <w:rFonts w:ascii="Arial"/>
                          <w:color w:val="FFFFFF"/>
                          <w:sz w:val="36"/>
                        </w:rPr>
                        <w:t>ISS ET DE GLASS LEWIS POUR 2022 (CANADA)</w:t>
                      </w:r>
                    </w:p>
                    <w:p w14:paraId="06C91663" w14:textId="099DE26F" w:rsidR="002526B9" w:rsidRPr="001D5482" w:rsidRDefault="006512C6" w:rsidP="003E388B">
                      <w:pPr>
                        <w:ind w:left="883"/>
                        <w:rPr>
                          <w:rFonts w:ascii="Calibri Light" w:eastAsia="Calibri Light" w:hAnsi="Calibri Light" w:cs="Calibri Light"/>
                          <w:iCs/>
                        </w:rPr>
                      </w:pPr>
                      <w:r>
                        <w:rPr>
                          <w:rFonts w:ascii="Calibri Light"/>
                          <w:color w:val="FFFFFF"/>
                        </w:rPr>
                        <w:t>Par : Richard Liu et Michael Small | Janvier 2022</w:t>
                      </w:r>
                    </w:p>
                  </w:txbxContent>
                </v:textbox>
                <w10:wrap anchorx="page"/>
              </v:shape>
            </w:pict>
          </mc:Fallback>
        </mc:AlternateContent>
      </w:r>
      <w:r>
        <w:rPr>
          <w:rFonts w:ascii="Times New Roman" w:hAnsi="Times New Roman"/>
          <w:noProof/>
          <w:sz w:val="20"/>
        </w:rPr>
        <w:drawing>
          <wp:anchor distT="0" distB="0" distL="114300" distR="114300" simplePos="0" relativeHeight="251655167" behindDoc="0" locked="0" layoutInCell="1" allowOverlap="1" wp14:anchorId="2184E3D6" wp14:editId="1595210E">
            <wp:simplePos x="0" y="0"/>
            <wp:positionH relativeFrom="page">
              <wp:align>right</wp:align>
            </wp:positionH>
            <wp:positionV relativeFrom="paragraph">
              <wp:posOffset>-889000</wp:posOffset>
            </wp:positionV>
            <wp:extent cx="7769225" cy="2216150"/>
            <wp:effectExtent l="0" t="0" r="3175" b="0"/>
            <wp:wrapNone/>
            <wp:docPr id="2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9225" cy="2216150"/>
                    </a:xfrm>
                    <a:prstGeom prst="rect">
                      <a:avLst/>
                    </a:prstGeom>
                    <a:noFill/>
                  </pic:spPr>
                </pic:pic>
              </a:graphicData>
            </a:graphic>
            <wp14:sizeRelV relativeFrom="margin">
              <wp14:pctHeight>0</wp14:pctHeight>
            </wp14:sizeRelV>
          </wp:anchor>
        </w:drawing>
      </w:r>
    </w:p>
    <w:p w14:paraId="143B5926" w14:textId="77777777" w:rsidR="002526B9" w:rsidRDefault="002526B9">
      <w:pPr>
        <w:rPr>
          <w:rFonts w:ascii="Times New Roman" w:eastAsia="Times New Roman" w:hAnsi="Times New Roman" w:cs="Times New Roman"/>
          <w:sz w:val="20"/>
          <w:szCs w:val="20"/>
        </w:rPr>
      </w:pPr>
    </w:p>
    <w:p w14:paraId="43D7CAB1" w14:textId="23D4EF87" w:rsidR="002526B9" w:rsidRDefault="002526B9">
      <w:pPr>
        <w:rPr>
          <w:rFonts w:ascii="Times New Roman" w:eastAsia="Times New Roman" w:hAnsi="Times New Roman" w:cs="Times New Roman"/>
          <w:sz w:val="20"/>
          <w:szCs w:val="20"/>
        </w:rPr>
      </w:pPr>
    </w:p>
    <w:p w14:paraId="4887B181" w14:textId="57386986" w:rsidR="002526B9" w:rsidRDefault="002526B9">
      <w:pPr>
        <w:rPr>
          <w:rFonts w:ascii="Times New Roman" w:eastAsia="Times New Roman" w:hAnsi="Times New Roman" w:cs="Times New Roman"/>
          <w:sz w:val="20"/>
          <w:szCs w:val="20"/>
        </w:rPr>
      </w:pPr>
    </w:p>
    <w:p w14:paraId="18B18D77" w14:textId="40B70E25" w:rsidR="002526B9" w:rsidRDefault="002526B9">
      <w:pPr>
        <w:rPr>
          <w:rFonts w:ascii="Times New Roman" w:eastAsia="Times New Roman" w:hAnsi="Times New Roman" w:cs="Times New Roman"/>
          <w:sz w:val="20"/>
          <w:szCs w:val="20"/>
        </w:rPr>
      </w:pPr>
    </w:p>
    <w:p w14:paraId="6E8CBB69" w14:textId="4DC4E2B1" w:rsidR="002526B9" w:rsidRDefault="002526B9">
      <w:pPr>
        <w:rPr>
          <w:rFonts w:ascii="Times New Roman" w:eastAsia="Times New Roman" w:hAnsi="Times New Roman" w:cs="Times New Roman"/>
          <w:sz w:val="20"/>
          <w:szCs w:val="20"/>
        </w:rPr>
      </w:pPr>
    </w:p>
    <w:p w14:paraId="27FE994A" w14:textId="36F09F69" w:rsidR="002526B9" w:rsidRDefault="002526B9">
      <w:pPr>
        <w:rPr>
          <w:rFonts w:ascii="Times New Roman" w:eastAsia="Times New Roman" w:hAnsi="Times New Roman" w:cs="Times New Roman"/>
          <w:sz w:val="20"/>
          <w:szCs w:val="20"/>
        </w:rPr>
      </w:pPr>
    </w:p>
    <w:p w14:paraId="6D4B8652" w14:textId="0C08075D" w:rsidR="002526B9" w:rsidRDefault="002526B9">
      <w:pPr>
        <w:rPr>
          <w:rFonts w:ascii="Times New Roman" w:eastAsia="Times New Roman" w:hAnsi="Times New Roman" w:cs="Times New Roman"/>
          <w:sz w:val="20"/>
          <w:szCs w:val="20"/>
        </w:rPr>
      </w:pPr>
    </w:p>
    <w:p w14:paraId="056CDAD9" w14:textId="51F40CCE" w:rsidR="002526B9" w:rsidRDefault="002526B9">
      <w:pPr>
        <w:rPr>
          <w:rFonts w:ascii="Times New Roman" w:eastAsia="Times New Roman" w:hAnsi="Times New Roman" w:cs="Times New Roman"/>
          <w:sz w:val="20"/>
          <w:szCs w:val="20"/>
        </w:rPr>
      </w:pPr>
    </w:p>
    <w:p w14:paraId="3C146F67" w14:textId="77777777" w:rsidR="002526B9" w:rsidRDefault="002526B9">
      <w:pPr>
        <w:rPr>
          <w:rFonts w:ascii="Times New Roman" w:eastAsia="Times New Roman" w:hAnsi="Times New Roman" w:cs="Times New Roman"/>
          <w:sz w:val="20"/>
          <w:szCs w:val="20"/>
        </w:rPr>
      </w:pPr>
    </w:p>
    <w:p w14:paraId="1D949F71" w14:textId="7BA481EA" w:rsidR="002526B9" w:rsidRPr="004079D8" w:rsidRDefault="008418F1" w:rsidP="00832E2E">
      <w:pPr>
        <w:spacing w:before="80" w:line="264" w:lineRule="auto"/>
        <w:jc w:val="both"/>
        <w:rPr>
          <w:rFonts w:eastAsia="Times New Roman" w:cstheme="minorHAnsi"/>
          <w:sz w:val="20"/>
          <w:szCs w:val="20"/>
        </w:rPr>
      </w:pPr>
      <w:hyperlink r:id="rId10" w:history="1">
        <w:r w:rsidR="003761F0">
          <w:rPr>
            <w:rStyle w:val="Hyperlink"/>
            <w:sz w:val="20"/>
          </w:rPr>
          <w:t>L’Institutional Shareholders Services (l’« ISS »)</w:t>
        </w:r>
      </w:hyperlink>
      <w:r w:rsidR="003761F0">
        <w:rPr>
          <w:sz w:val="20"/>
        </w:rPr>
        <w:t xml:space="preserve"> </w:t>
      </w:r>
      <w:r w:rsidR="003761F0">
        <w:rPr>
          <w:color w:val="404040" w:themeColor="text1" w:themeTint="BF"/>
          <w:sz w:val="20"/>
        </w:rPr>
        <w:t xml:space="preserve">et </w:t>
      </w:r>
      <w:hyperlink r:id="rId11" w:history="1">
        <w:r w:rsidR="003761F0">
          <w:rPr>
            <w:rStyle w:val="Hyperlink"/>
            <w:sz w:val="20"/>
          </w:rPr>
          <w:t>Glass Lewis (« GL »)</w:t>
        </w:r>
      </w:hyperlink>
      <w:r w:rsidR="003761F0">
        <w:rPr>
          <w:sz w:val="20"/>
        </w:rPr>
        <w:t xml:space="preserve"> </w:t>
      </w:r>
      <w:r w:rsidR="003761F0">
        <w:rPr>
          <w:color w:val="404040" w:themeColor="text1" w:themeTint="BF"/>
          <w:sz w:val="20"/>
        </w:rPr>
        <w:t xml:space="preserve">ont mis à jour leurs </w:t>
      </w:r>
      <w:r w:rsidR="003761F0">
        <w:rPr>
          <w:b/>
          <w:color w:val="F0531E"/>
          <w:sz w:val="20"/>
        </w:rPr>
        <w:t>lignes directrices de vote 2022 pour les émetteurs canadiens et américains</w:t>
      </w:r>
      <w:r w:rsidR="003761F0">
        <w:rPr>
          <w:color w:val="404040" w:themeColor="text1" w:themeTint="BF"/>
          <w:sz w:val="20"/>
        </w:rPr>
        <w:t>. Les lignes directrices actualisées de l'ISS s'appliqueront aux assemblées des actionnaires des entreprises cotées en bourse à partir du 1</w:t>
      </w:r>
      <w:r w:rsidR="003761F0">
        <w:rPr>
          <w:color w:val="404040" w:themeColor="text1" w:themeTint="BF"/>
          <w:sz w:val="20"/>
          <w:vertAlign w:val="superscript"/>
        </w:rPr>
        <w:t>er</w:t>
      </w:r>
      <w:r w:rsidR="003761F0">
        <w:rPr>
          <w:color w:val="404040" w:themeColor="text1" w:themeTint="BF"/>
          <w:sz w:val="20"/>
        </w:rPr>
        <w:t xml:space="preserve"> février 2022, tandis que celles de Glass Lewis s'appliqueront aux assemblées tenues à partir du 1</w:t>
      </w:r>
      <w:r w:rsidR="003761F0">
        <w:rPr>
          <w:color w:val="404040" w:themeColor="text1" w:themeTint="BF"/>
          <w:sz w:val="20"/>
          <w:vertAlign w:val="superscript"/>
        </w:rPr>
        <w:t>er</w:t>
      </w:r>
      <w:r w:rsidR="003761F0">
        <w:rPr>
          <w:color w:val="404040" w:themeColor="text1" w:themeTint="BF"/>
          <w:sz w:val="20"/>
        </w:rPr>
        <w:t xml:space="preserve"> janvier 2022. Ce compte-rendu fournit un résumé des mises à jour sur des sujets liés à la rémunération et à la gouvernance pour le marché canadien.</w:t>
      </w:r>
    </w:p>
    <w:p w14:paraId="62506C2A" w14:textId="41C56951" w:rsidR="004816E7" w:rsidRDefault="00113173" w:rsidP="00832E2E">
      <w:pPr>
        <w:pStyle w:val="Heading1"/>
        <w:pBdr>
          <w:bottom w:val="single" w:sz="4" w:space="1" w:color="F0531E"/>
        </w:pBdr>
        <w:spacing w:before="240" w:line="264" w:lineRule="auto"/>
        <w:ind w:left="0"/>
        <w:rPr>
          <w:rFonts w:ascii="Calibri Light" w:hAnsi="Calibri Light" w:cs="Calibri Light"/>
          <w:color w:val="001E47"/>
          <w:spacing w:val="-1"/>
          <w:sz w:val="32"/>
          <w:szCs w:val="32"/>
        </w:rPr>
      </w:pPr>
      <w:r>
        <w:rPr>
          <w:rFonts w:ascii="Calibri Light" w:hAnsi="Calibri Light"/>
          <w:color w:val="001E47"/>
          <w:sz w:val="32"/>
        </w:rPr>
        <w:t>Faits saillants</w:t>
      </w:r>
    </w:p>
    <w:p w14:paraId="76221572" w14:textId="77777777" w:rsidR="009F25ED" w:rsidRDefault="009F25ED" w:rsidP="009F25ED">
      <w:pPr>
        <w:spacing w:line="264" w:lineRule="auto"/>
        <w:rPr>
          <w:b/>
          <w:bCs/>
          <w:sz w:val="20"/>
          <w:szCs w:val="20"/>
        </w:rPr>
      </w:pPr>
    </w:p>
    <w:p w14:paraId="149DB785" w14:textId="77777777" w:rsidR="009F25ED" w:rsidRPr="00460A93" w:rsidRDefault="009F25ED" w:rsidP="009D3A56">
      <w:pPr>
        <w:spacing w:line="264" w:lineRule="auto"/>
        <w:jc w:val="both"/>
        <w:rPr>
          <w:b/>
          <w:bCs/>
          <w:sz w:val="20"/>
          <w:szCs w:val="20"/>
        </w:rPr>
      </w:pPr>
      <w:r>
        <w:rPr>
          <w:b/>
          <w:sz w:val="20"/>
        </w:rPr>
        <w:t>Aucune modification des politiques de rémunération liées à la COVID-19</w:t>
      </w:r>
    </w:p>
    <w:p w14:paraId="23E452C6" w14:textId="07EF78D1" w:rsidR="009F25ED" w:rsidRPr="009F25ED" w:rsidRDefault="009F25ED" w:rsidP="009D3A56">
      <w:pPr>
        <w:pStyle w:val="ListParagraph"/>
        <w:numPr>
          <w:ilvl w:val="0"/>
          <w:numId w:val="18"/>
        </w:numPr>
        <w:spacing w:line="264" w:lineRule="auto"/>
        <w:ind w:left="714" w:hanging="357"/>
        <w:jc w:val="both"/>
        <w:rPr>
          <w:b/>
          <w:bCs/>
          <w:sz w:val="20"/>
          <w:szCs w:val="20"/>
        </w:rPr>
      </w:pPr>
      <w:r>
        <w:rPr>
          <w:sz w:val="20"/>
        </w:rPr>
        <w:t>Alors que la pandémie mondiale de COVID-19 se poursuit en 2022, ni l’ISS ni Glass Lewis n'ont modifié les politiques et les directives relatives à la rémunération des dirigeants divulguées précédemment</w:t>
      </w:r>
    </w:p>
    <w:p w14:paraId="492D6023" w14:textId="77777777" w:rsidR="00460A93" w:rsidRDefault="00460A93" w:rsidP="009D3A56">
      <w:pPr>
        <w:spacing w:line="264" w:lineRule="auto"/>
        <w:jc w:val="both"/>
        <w:rPr>
          <w:b/>
          <w:bCs/>
          <w:sz w:val="20"/>
          <w:szCs w:val="20"/>
        </w:rPr>
      </w:pPr>
    </w:p>
    <w:p w14:paraId="15E3B4A0" w14:textId="02FC2BA7" w:rsidR="00B763E1" w:rsidRPr="00B763E1" w:rsidRDefault="001305C5" w:rsidP="009D3A56">
      <w:pPr>
        <w:spacing w:line="264" w:lineRule="auto"/>
        <w:jc w:val="both"/>
        <w:rPr>
          <w:b/>
          <w:bCs/>
          <w:sz w:val="20"/>
          <w:szCs w:val="20"/>
        </w:rPr>
      </w:pPr>
      <w:r>
        <w:rPr>
          <w:b/>
          <w:sz w:val="20"/>
        </w:rPr>
        <w:t>Augmentation du seuil définissant un résultat « défavorable » au vote consultatif sur la rémunération des dirigeants</w:t>
      </w:r>
    </w:p>
    <w:p w14:paraId="414D78C4" w14:textId="6CCEDF86" w:rsidR="000F20D1" w:rsidRDefault="00B763E1" w:rsidP="009D3A56">
      <w:pPr>
        <w:pStyle w:val="ListParagraph"/>
        <w:numPr>
          <w:ilvl w:val="0"/>
          <w:numId w:val="18"/>
        </w:numPr>
        <w:spacing w:line="264" w:lineRule="auto"/>
        <w:ind w:left="714" w:hanging="357"/>
        <w:jc w:val="both"/>
        <w:rPr>
          <w:sz w:val="20"/>
          <w:szCs w:val="20"/>
        </w:rPr>
      </w:pPr>
      <w:r>
        <w:rPr>
          <w:sz w:val="20"/>
        </w:rPr>
        <w:t>L’ISS, conformément à Glass Lewis, augmente le seuil de ce qu’elle estime être un résultat «</w:t>
      </w:r>
      <w:r w:rsidR="00FC4E3C">
        <w:rPr>
          <w:sz w:val="20"/>
        </w:rPr>
        <w:t> </w:t>
      </w:r>
      <w:r>
        <w:rPr>
          <w:sz w:val="20"/>
        </w:rPr>
        <w:t>défavorable</w:t>
      </w:r>
      <w:r w:rsidR="00FC4E3C">
        <w:rPr>
          <w:sz w:val="20"/>
        </w:rPr>
        <w:t> </w:t>
      </w:r>
      <w:r>
        <w:rPr>
          <w:sz w:val="20"/>
        </w:rPr>
        <w:t>» au vote consultatif des actionnaires sur la rémunération</w:t>
      </w:r>
      <w:r w:rsidR="00FC4E3C">
        <w:rPr>
          <w:sz w:val="20"/>
        </w:rPr>
        <w:t> </w:t>
      </w:r>
      <w:r>
        <w:rPr>
          <w:sz w:val="20"/>
        </w:rPr>
        <w:t>: les entreprises dont le résultat obtenu lors du vote est inférieur à 80</w:t>
      </w:r>
      <w:r w:rsidR="00FC4E3C">
        <w:rPr>
          <w:sz w:val="20"/>
        </w:rPr>
        <w:t> </w:t>
      </w:r>
      <w:r>
        <w:rPr>
          <w:sz w:val="20"/>
        </w:rPr>
        <w:t>% (plutôt que 70</w:t>
      </w:r>
      <w:r w:rsidR="00FC4E3C">
        <w:rPr>
          <w:sz w:val="20"/>
        </w:rPr>
        <w:t> </w:t>
      </w:r>
      <w:r>
        <w:rPr>
          <w:sz w:val="20"/>
        </w:rPr>
        <w:t>%) devront fournir une divulgation claire de la réponse du conseil d</w:t>
      </w:r>
      <w:r w:rsidR="00FC4E3C">
        <w:rPr>
          <w:sz w:val="20"/>
        </w:rPr>
        <w:t>’</w:t>
      </w:r>
      <w:r>
        <w:rPr>
          <w:sz w:val="20"/>
        </w:rPr>
        <w:t>administration à ce résultat défavorable</w:t>
      </w:r>
    </w:p>
    <w:p w14:paraId="71AB008D" w14:textId="23AE9A99" w:rsidR="009F25ED" w:rsidRDefault="009F25ED" w:rsidP="009D3A56">
      <w:pPr>
        <w:spacing w:line="264" w:lineRule="auto"/>
        <w:jc w:val="both"/>
        <w:rPr>
          <w:sz w:val="20"/>
          <w:szCs w:val="20"/>
        </w:rPr>
      </w:pPr>
    </w:p>
    <w:p w14:paraId="337B332B" w14:textId="2D0C095F" w:rsidR="009F25ED" w:rsidRDefault="009F25ED" w:rsidP="009D3A56">
      <w:pPr>
        <w:spacing w:line="264" w:lineRule="auto"/>
        <w:jc w:val="both"/>
        <w:rPr>
          <w:b/>
          <w:bCs/>
          <w:sz w:val="20"/>
          <w:szCs w:val="20"/>
        </w:rPr>
      </w:pPr>
      <w:r>
        <w:rPr>
          <w:b/>
          <w:sz w:val="20"/>
        </w:rPr>
        <w:t xml:space="preserve">Surveillance des risques ESG par le conseil </w:t>
      </w:r>
      <w:r w:rsidR="00904891">
        <w:rPr>
          <w:b/>
          <w:sz w:val="20"/>
        </w:rPr>
        <w:t>d’administration, une</w:t>
      </w:r>
      <w:r>
        <w:rPr>
          <w:b/>
          <w:sz w:val="20"/>
        </w:rPr>
        <w:t xml:space="preserve"> priorité</w:t>
      </w:r>
    </w:p>
    <w:p w14:paraId="1866CA72" w14:textId="15636D24" w:rsidR="009F25ED" w:rsidRPr="00241350" w:rsidRDefault="00FA004C" w:rsidP="009D3A56">
      <w:pPr>
        <w:pStyle w:val="ListParagraph"/>
        <w:numPr>
          <w:ilvl w:val="0"/>
          <w:numId w:val="18"/>
        </w:numPr>
        <w:spacing w:line="264" w:lineRule="auto"/>
        <w:jc w:val="both"/>
        <w:rPr>
          <w:sz w:val="20"/>
          <w:szCs w:val="20"/>
        </w:rPr>
      </w:pPr>
      <w:r>
        <w:rPr>
          <w:sz w:val="20"/>
        </w:rPr>
        <w:t>À compter de 2022, Glass Lewis recommandera généralement de s’abstenir de voter pour le président du comité de gouvernance des émetteurs de l</w:t>
      </w:r>
      <w:r w:rsidR="00FC4E3C">
        <w:rPr>
          <w:sz w:val="20"/>
        </w:rPr>
        <w:t>’</w:t>
      </w:r>
      <w:r>
        <w:rPr>
          <w:sz w:val="20"/>
        </w:rPr>
        <w:t>indice S&amp;P/TSX</w:t>
      </w:r>
      <w:r w:rsidR="00FC4E3C">
        <w:rPr>
          <w:sz w:val="20"/>
        </w:rPr>
        <w:t> </w:t>
      </w:r>
      <w:r>
        <w:rPr>
          <w:sz w:val="20"/>
        </w:rPr>
        <w:t xml:space="preserve">60 lorsque </w:t>
      </w:r>
      <w:bookmarkStart w:id="0" w:name="_Hlk93670866"/>
      <w:r>
        <w:rPr>
          <w:sz w:val="20"/>
        </w:rPr>
        <w:t>l’entreprise ne divulgue pas explicitement le rôle du conseil d’administration quant à la surveillance des problématiques ESG.</w:t>
      </w:r>
      <w:bookmarkEnd w:id="0"/>
      <w:r>
        <w:rPr>
          <w:sz w:val="20"/>
        </w:rPr>
        <w:t xml:space="preserve"> Cela fait suite à des politiques similaires mises en œuvre par l’ISS en 2021 selon lesquelles elle recommandera généralement aux actionnaires de s’abstenir de voter pour les administrateurs lorsqu’il y a une faute grave dans la surveillance des risques liés aux problématiques ESG</w:t>
      </w:r>
    </w:p>
    <w:p w14:paraId="3A713861" w14:textId="29F8D648" w:rsidR="009F25ED" w:rsidRPr="00241350" w:rsidRDefault="009F25ED" w:rsidP="009D3A56">
      <w:pPr>
        <w:pStyle w:val="ListParagraph"/>
        <w:numPr>
          <w:ilvl w:val="0"/>
          <w:numId w:val="18"/>
        </w:numPr>
        <w:spacing w:line="264" w:lineRule="auto"/>
        <w:jc w:val="both"/>
        <w:rPr>
          <w:sz w:val="20"/>
          <w:szCs w:val="20"/>
        </w:rPr>
      </w:pPr>
      <w:r>
        <w:rPr>
          <w:sz w:val="20"/>
        </w:rPr>
        <w:t xml:space="preserve">Glass Lewis notera également comme problématiques les entreprises de l’indice S&amp;P/TSX qui </w:t>
      </w:r>
      <w:bookmarkStart w:id="1" w:name="_Hlk93670836"/>
      <w:r>
        <w:rPr>
          <w:sz w:val="20"/>
        </w:rPr>
        <w:t>ne fournissent pas de divulgation claire concernant la surveillance du conseil d</w:t>
      </w:r>
      <w:r w:rsidR="00FC4E3C">
        <w:rPr>
          <w:sz w:val="20"/>
        </w:rPr>
        <w:t>’</w:t>
      </w:r>
      <w:r>
        <w:rPr>
          <w:sz w:val="20"/>
        </w:rPr>
        <w:t>administration accordée aux problèmes environnementaux et sociaux des entreprises</w:t>
      </w:r>
      <w:r w:rsidR="00904891">
        <w:rPr>
          <w:sz w:val="20"/>
        </w:rPr>
        <w:t>.</w:t>
      </w:r>
    </w:p>
    <w:bookmarkEnd w:id="1"/>
    <w:p w14:paraId="1F3474FB" w14:textId="77777777" w:rsidR="00CD161F" w:rsidRPr="00D61573" w:rsidRDefault="00CD161F" w:rsidP="00FF2568">
      <w:pPr>
        <w:spacing w:line="264" w:lineRule="auto"/>
      </w:pPr>
    </w:p>
    <w:p w14:paraId="721D0687" w14:textId="2CEB8387" w:rsidR="002526B9" w:rsidRPr="00104A1F" w:rsidRDefault="006512C6" w:rsidP="00832E2E">
      <w:pPr>
        <w:pStyle w:val="Heading1"/>
        <w:pBdr>
          <w:bottom w:val="single" w:sz="4" w:space="1" w:color="F0531E"/>
        </w:pBdr>
        <w:spacing w:before="80" w:line="264" w:lineRule="auto"/>
        <w:ind w:left="0"/>
        <w:rPr>
          <w:rFonts w:ascii="Calibri Light" w:hAnsi="Calibri Light" w:cs="Calibri Light"/>
          <w:b w:val="0"/>
          <w:bCs w:val="0"/>
          <w:color w:val="001E47"/>
        </w:rPr>
      </w:pPr>
      <w:r>
        <w:rPr>
          <w:rFonts w:ascii="Calibri Light" w:hAnsi="Calibri Light"/>
          <w:color w:val="001E47"/>
        </w:rPr>
        <w:t>Canada</w:t>
      </w:r>
      <w:r w:rsidR="00FC4E3C">
        <w:rPr>
          <w:rFonts w:ascii="Calibri Light" w:hAnsi="Calibri Light"/>
          <w:color w:val="001E47"/>
        </w:rPr>
        <w:t> </w:t>
      </w:r>
      <w:r>
        <w:rPr>
          <w:rFonts w:ascii="Calibri Light" w:hAnsi="Calibri Light"/>
          <w:color w:val="001E47"/>
        </w:rPr>
        <w:t>2022</w:t>
      </w:r>
      <w:r w:rsidR="00FC4E3C">
        <w:rPr>
          <w:rFonts w:ascii="Calibri Light" w:hAnsi="Calibri Light"/>
          <w:color w:val="001E47"/>
        </w:rPr>
        <w:t> </w:t>
      </w:r>
      <w:r>
        <w:rPr>
          <w:rFonts w:ascii="Calibri Light" w:hAnsi="Calibri Light"/>
          <w:color w:val="001E47"/>
        </w:rPr>
        <w:t>: Mise à jour des politiques de rémunération et de gouvernance</w:t>
      </w:r>
    </w:p>
    <w:p w14:paraId="3384C11E" w14:textId="76550F9F" w:rsidR="00515CCC" w:rsidRPr="00515CCC" w:rsidRDefault="00515CCC" w:rsidP="00832E2E">
      <w:pPr>
        <w:pStyle w:val="BodyText"/>
        <w:spacing w:before="360" w:line="264" w:lineRule="auto"/>
        <w:ind w:left="360"/>
        <w:rPr>
          <w:rFonts w:asciiTheme="minorHAnsi" w:hAnsiTheme="minorHAnsi" w:cstheme="minorHAnsi"/>
          <w:b/>
          <w:bCs/>
          <w:color w:val="404040" w:themeColor="text1" w:themeTint="BF"/>
          <w:spacing w:val="-1"/>
          <w:sz w:val="24"/>
          <w:szCs w:val="24"/>
        </w:rPr>
      </w:pPr>
      <w:r>
        <w:rPr>
          <w:rFonts w:asciiTheme="minorHAnsi" w:hAnsiTheme="minorHAnsi"/>
          <w:b/>
          <w:color w:val="404040" w:themeColor="text1" w:themeTint="BF"/>
          <w:sz w:val="24"/>
        </w:rPr>
        <w:t>Mises à jour des politiques de l’ISS</w:t>
      </w:r>
    </w:p>
    <w:p w14:paraId="2EC29C60" w14:textId="3A04F0EA" w:rsidR="00A671AD" w:rsidRDefault="00904891" w:rsidP="009D3A56">
      <w:pPr>
        <w:pStyle w:val="ListParagraph"/>
        <w:numPr>
          <w:ilvl w:val="0"/>
          <w:numId w:val="15"/>
        </w:numPr>
        <w:spacing w:before="60" w:line="264" w:lineRule="auto"/>
        <w:jc w:val="both"/>
        <w:rPr>
          <w:rFonts w:eastAsia="Times New Roman" w:cstheme="minorHAnsi"/>
          <w:color w:val="404040" w:themeColor="text1" w:themeTint="BF"/>
          <w:sz w:val="20"/>
          <w:szCs w:val="20"/>
        </w:rPr>
      </w:pPr>
      <w:r>
        <w:rPr>
          <w:color w:val="404040" w:themeColor="text1" w:themeTint="BF"/>
          <w:sz w:val="20"/>
        </w:rPr>
        <w:t>L</w:t>
      </w:r>
      <w:r w:rsidR="00FC4E3C">
        <w:rPr>
          <w:color w:val="404040" w:themeColor="text1" w:themeTint="BF"/>
          <w:sz w:val="20"/>
        </w:rPr>
        <w:t>’</w:t>
      </w:r>
      <w:r>
        <w:rPr>
          <w:color w:val="404040" w:themeColor="text1" w:themeTint="BF"/>
          <w:sz w:val="20"/>
        </w:rPr>
        <w:t>ISS élargit</w:t>
      </w:r>
      <w:r w:rsidR="00A671AD">
        <w:rPr>
          <w:color w:val="404040" w:themeColor="text1" w:themeTint="BF"/>
          <w:sz w:val="20"/>
        </w:rPr>
        <w:t xml:space="preserve"> </w:t>
      </w:r>
      <w:r>
        <w:rPr>
          <w:color w:val="404040" w:themeColor="text1" w:themeTint="BF"/>
          <w:sz w:val="20"/>
        </w:rPr>
        <w:t>s</w:t>
      </w:r>
      <w:r w:rsidR="00A671AD">
        <w:rPr>
          <w:color w:val="404040" w:themeColor="text1" w:themeTint="BF"/>
          <w:sz w:val="20"/>
        </w:rPr>
        <w:t xml:space="preserve">a politique de recommandation générale </w:t>
      </w:r>
      <w:r w:rsidR="00E86AE1">
        <w:rPr>
          <w:color w:val="404040" w:themeColor="text1" w:themeTint="BF"/>
          <w:sz w:val="20"/>
        </w:rPr>
        <w:t xml:space="preserve">des sociétés de l’indice composé S&amp;P/TSX à toutes les sociétés inscrites à la cote de la TSX, </w:t>
      </w:r>
      <w:r>
        <w:rPr>
          <w:color w:val="404040" w:themeColor="text1" w:themeTint="BF"/>
          <w:sz w:val="20"/>
        </w:rPr>
        <w:t xml:space="preserve">suggérant </w:t>
      </w:r>
      <w:r w:rsidR="00A671AD">
        <w:rPr>
          <w:color w:val="404040" w:themeColor="text1" w:themeTint="BF"/>
          <w:sz w:val="20"/>
        </w:rPr>
        <w:t>de s’abstenir de voter pour le président du comité des nominations s</w:t>
      </w:r>
      <w:r w:rsidR="00FC4E3C">
        <w:rPr>
          <w:color w:val="404040" w:themeColor="text1" w:themeTint="BF"/>
          <w:sz w:val="20"/>
        </w:rPr>
        <w:t>’</w:t>
      </w:r>
      <w:r w:rsidR="00A671AD">
        <w:rPr>
          <w:color w:val="404040" w:themeColor="text1" w:themeTint="BF"/>
          <w:sz w:val="20"/>
        </w:rPr>
        <w:t>il n</w:t>
      </w:r>
      <w:r w:rsidR="00FC4E3C">
        <w:rPr>
          <w:color w:val="404040" w:themeColor="text1" w:themeTint="BF"/>
          <w:sz w:val="20"/>
        </w:rPr>
        <w:t>’</w:t>
      </w:r>
      <w:r w:rsidR="00A671AD">
        <w:rPr>
          <w:color w:val="404040" w:themeColor="text1" w:themeTint="BF"/>
          <w:sz w:val="20"/>
        </w:rPr>
        <w:t>y a pas de femmes au sein du conseil d</w:t>
      </w:r>
      <w:r w:rsidR="00FC4E3C">
        <w:rPr>
          <w:color w:val="404040" w:themeColor="text1" w:themeTint="BF"/>
          <w:sz w:val="20"/>
        </w:rPr>
        <w:t>’</w:t>
      </w:r>
      <w:r w:rsidR="00A671AD">
        <w:rPr>
          <w:color w:val="404040" w:themeColor="text1" w:themeTint="BF"/>
          <w:sz w:val="20"/>
        </w:rPr>
        <w:t>administration et qu</w:t>
      </w:r>
      <w:r w:rsidR="00FC4E3C">
        <w:rPr>
          <w:color w:val="404040" w:themeColor="text1" w:themeTint="BF"/>
          <w:sz w:val="20"/>
        </w:rPr>
        <w:t>’</w:t>
      </w:r>
      <w:r w:rsidR="00A671AD">
        <w:rPr>
          <w:color w:val="404040" w:themeColor="text1" w:themeTint="BF"/>
          <w:sz w:val="20"/>
        </w:rPr>
        <w:t>il n</w:t>
      </w:r>
      <w:r w:rsidR="00FC4E3C">
        <w:rPr>
          <w:color w:val="404040" w:themeColor="text1" w:themeTint="BF"/>
          <w:sz w:val="20"/>
        </w:rPr>
        <w:t>’</w:t>
      </w:r>
      <w:r w:rsidR="00A671AD">
        <w:rPr>
          <w:color w:val="404040" w:themeColor="text1" w:themeTint="BF"/>
          <w:sz w:val="20"/>
        </w:rPr>
        <w:t>y a pas de politique officielle écrite sur la diversité des genres</w:t>
      </w:r>
      <w:r w:rsidR="00E86AE1">
        <w:rPr>
          <w:color w:val="404040" w:themeColor="text1" w:themeTint="BF"/>
          <w:sz w:val="20"/>
        </w:rPr>
        <w:t>.</w:t>
      </w:r>
      <w:r w:rsidR="00A671AD">
        <w:rPr>
          <w:color w:val="404040" w:themeColor="text1" w:themeTint="BF"/>
          <w:sz w:val="20"/>
        </w:rPr>
        <w:t xml:space="preserve"> </w:t>
      </w:r>
    </w:p>
    <w:p w14:paraId="09C1DD1D" w14:textId="7FAF9E77" w:rsidR="0021274E" w:rsidRDefault="0021274E" w:rsidP="009D3A56">
      <w:pPr>
        <w:pStyle w:val="ListParagraph"/>
        <w:numPr>
          <w:ilvl w:val="0"/>
          <w:numId w:val="15"/>
        </w:numPr>
        <w:spacing w:before="60" w:line="264" w:lineRule="auto"/>
        <w:jc w:val="both"/>
        <w:rPr>
          <w:rFonts w:eastAsia="Times New Roman" w:cstheme="minorHAnsi"/>
          <w:color w:val="404040" w:themeColor="text1" w:themeTint="BF"/>
          <w:sz w:val="20"/>
          <w:szCs w:val="20"/>
        </w:rPr>
      </w:pPr>
      <w:r>
        <w:rPr>
          <w:color w:val="404040" w:themeColor="text1" w:themeTint="BF"/>
          <w:sz w:val="20"/>
        </w:rPr>
        <w:t>Pour les entreprises de l’indice composé S&amp;P/TSX,</w:t>
      </w:r>
      <w:r w:rsidR="00904891">
        <w:rPr>
          <w:color w:val="404040" w:themeColor="text1" w:themeTint="BF"/>
          <w:sz w:val="20"/>
        </w:rPr>
        <w:t xml:space="preserve"> l</w:t>
      </w:r>
      <w:r w:rsidR="00FC4E3C">
        <w:rPr>
          <w:color w:val="404040" w:themeColor="text1" w:themeTint="BF"/>
          <w:sz w:val="20"/>
        </w:rPr>
        <w:t>’</w:t>
      </w:r>
      <w:r w:rsidR="00904891">
        <w:rPr>
          <w:color w:val="404040" w:themeColor="text1" w:themeTint="BF"/>
          <w:sz w:val="20"/>
        </w:rPr>
        <w:t>ISS recommande</w:t>
      </w:r>
      <w:r>
        <w:rPr>
          <w:color w:val="404040" w:themeColor="text1" w:themeTint="BF"/>
          <w:sz w:val="20"/>
        </w:rPr>
        <w:t xml:space="preserve"> généralement </w:t>
      </w:r>
      <w:r w:rsidR="00904891">
        <w:rPr>
          <w:color w:val="404040" w:themeColor="text1" w:themeTint="BF"/>
          <w:sz w:val="20"/>
        </w:rPr>
        <w:t xml:space="preserve">de </w:t>
      </w:r>
      <w:r>
        <w:rPr>
          <w:color w:val="404040" w:themeColor="text1" w:themeTint="BF"/>
          <w:sz w:val="20"/>
        </w:rPr>
        <w:t xml:space="preserve">s’abstenir de voter pour </w:t>
      </w:r>
      <w:r>
        <w:rPr>
          <w:color w:val="404040" w:themeColor="text1" w:themeTint="BF"/>
          <w:sz w:val="20"/>
        </w:rPr>
        <w:lastRenderedPageBreak/>
        <w:t>le président du comité des nominations si</w:t>
      </w:r>
      <w:r w:rsidR="00FC4E3C">
        <w:rPr>
          <w:color w:val="404040" w:themeColor="text1" w:themeTint="BF"/>
          <w:sz w:val="20"/>
        </w:rPr>
        <w:t> </w:t>
      </w:r>
      <w:r>
        <w:rPr>
          <w:color w:val="404040" w:themeColor="text1" w:themeTint="BF"/>
          <w:sz w:val="20"/>
        </w:rPr>
        <w:t>:</w:t>
      </w:r>
    </w:p>
    <w:p w14:paraId="2FF9BE23" w14:textId="5D436C33" w:rsidR="0021274E" w:rsidRDefault="0021274E" w:rsidP="009D3A56">
      <w:pPr>
        <w:pStyle w:val="ListParagraph"/>
        <w:numPr>
          <w:ilvl w:val="1"/>
          <w:numId w:val="15"/>
        </w:numPr>
        <w:spacing w:before="60" w:line="264" w:lineRule="auto"/>
        <w:jc w:val="both"/>
        <w:rPr>
          <w:rFonts w:eastAsia="Times New Roman" w:cstheme="minorHAnsi"/>
          <w:color w:val="404040" w:themeColor="text1" w:themeTint="BF"/>
          <w:sz w:val="20"/>
          <w:szCs w:val="20"/>
        </w:rPr>
      </w:pPr>
      <w:r>
        <w:rPr>
          <w:color w:val="404040" w:themeColor="text1" w:themeTint="BF"/>
          <w:sz w:val="20"/>
        </w:rPr>
        <w:t>Les femmes représentent moins de 30</w:t>
      </w:r>
      <w:r w:rsidR="00FC4E3C">
        <w:rPr>
          <w:color w:val="404040" w:themeColor="text1" w:themeTint="BF"/>
          <w:sz w:val="20"/>
        </w:rPr>
        <w:t> </w:t>
      </w:r>
      <w:r>
        <w:rPr>
          <w:color w:val="404040" w:themeColor="text1" w:themeTint="BF"/>
          <w:sz w:val="20"/>
        </w:rPr>
        <w:t>% du conseil d</w:t>
      </w:r>
      <w:r w:rsidR="00FC4E3C">
        <w:rPr>
          <w:color w:val="404040" w:themeColor="text1" w:themeTint="BF"/>
          <w:sz w:val="20"/>
        </w:rPr>
        <w:t>’</w:t>
      </w:r>
      <w:r>
        <w:rPr>
          <w:color w:val="404040" w:themeColor="text1" w:themeTint="BF"/>
          <w:sz w:val="20"/>
        </w:rPr>
        <w:t>administration et l’entreprise n</w:t>
      </w:r>
      <w:r w:rsidR="00FC4E3C">
        <w:rPr>
          <w:color w:val="404040" w:themeColor="text1" w:themeTint="BF"/>
          <w:sz w:val="20"/>
        </w:rPr>
        <w:t>’</w:t>
      </w:r>
      <w:r>
        <w:rPr>
          <w:color w:val="404040" w:themeColor="text1" w:themeTint="BF"/>
          <w:sz w:val="20"/>
        </w:rPr>
        <w:t>a pas fourni d</w:t>
      </w:r>
      <w:r w:rsidR="00FC4E3C">
        <w:rPr>
          <w:color w:val="404040" w:themeColor="text1" w:themeTint="BF"/>
          <w:sz w:val="20"/>
        </w:rPr>
        <w:t>’</w:t>
      </w:r>
      <w:r>
        <w:rPr>
          <w:color w:val="404040" w:themeColor="text1" w:themeTint="BF"/>
          <w:sz w:val="20"/>
        </w:rPr>
        <w:t>engagement écrit officiel et publiquement divulgué pour atteindre cet objectif pour la prochaine AGA ou avant celle-ci (c.-à-d. en 2023).</w:t>
      </w:r>
    </w:p>
    <w:p w14:paraId="02E02965" w14:textId="1578A572" w:rsidR="0021274E" w:rsidRDefault="00FC4E3C" w:rsidP="009D3A56">
      <w:pPr>
        <w:pStyle w:val="ListParagraph"/>
        <w:numPr>
          <w:ilvl w:val="1"/>
          <w:numId w:val="15"/>
        </w:numPr>
        <w:spacing w:before="60" w:line="264" w:lineRule="auto"/>
        <w:jc w:val="both"/>
        <w:rPr>
          <w:rFonts w:eastAsia="Times New Roman" w:cstheme="minorHAnsi"/>
          <w:color w:val="404040" w:themeColor="text1" w:themeTint="BF"/>
          <w:sz w:val="20"/>
          <w:szCs w:val="20"/>
        </w:rPr>
      </w:pPr>
      <w:r>
        <w:rPr>
          <w:color w:val="404040" w:themeColor="text1" w:themeTint="BF"/>
          <w:sz w:val="20"/>
        </w:rPr>
        <w:t>L’ISS évaluera</w:t>
      </w:r>
      <w:r w:rsidR="0021274E">
        <w:rPr>
          <w:color w:val="404040" w:themeColor="text1" w:themeTint="BF"/>
          <w:sz w:val="20"/>
        </w:rPr>
        <w:t xml:space="preserve"> au cas par cas si la recommandation de voter contre est justifiée pour les autres administrateurs n’ayant pas respecté la politique sur une période de deux ans ou plus</w:t>
      </w:r>
    </w:p>
    <w:p w14:paraId="45274EC5" w14:textId="6C04116D" w:rsidR="00A12E9E" w:rsidRDefault="00A12E9E" w:rsidP="009D3A56">
      <w:pPr>
        <w:pStyle w:val="ListParagraph"/>
        <w:numPr>
          <w:ilvl w:val="1"/>
          <w:numId w:val="15"/>
        </w:numPr>
        <w:spacing w:before="60" w:line="264" w:lineRule="auto"/>
        <w:jc w:val="both"/>
        <w:rPr>
          <w:rFonts w:eastAsia="Times New Roman" w:cstheme="minorHAnsi"/>
          <w:color w:val="404040" w:themeColor="text1" w:themeTint="BF"/>
          <w:sz w:val="20"/>
          <w:szCs w:val="20"/>
        </w:rPr>
      </w:pPr>
      <w:r>
        <w:rPr>
          <w:i/>
          <w:color w:val="404040" w:themeColor="text1" w:themeTint="BF"/>
          <w:sz w:val="20"/>
        </w:rPr>
        <w:t>Remarque</w:t>
      </w:r>
      <w:r w:rsidR="00FC4E3C">
        <w:rPr>
          <w:i/>
          <w:color w:val="404040" w:themeColor="text1" w:themeTint="BF"/>
          <w:sz w:val="20"/>
        </w:rPr>
        <w:t> </w:t>
      </w:r>
      <w:r>
        <w:rPr>
          <w:i/>
          <w:color w:val="404040" w:themeColor="text1" w:themeTint="BF"/>
          <w:sz w:val="20"/>
        </w:rPr>
        <w:t>: Cette politique a été annoncée dans le cadre des mises à jour des politiques de 2021 et devrait être mise en œuvre en 2022</w:t>
      </w:r>
    </w:p>
    <w:p w14:paraId="1C2CF99D" w14:textId="774091F7" w:rsidR="00A12E9E" w:rsidRDefault="00A12E9E" w:rsidP="009D3A56">
      <w:pPr>
        <w:pStyle w:val="ListParagraph"/>
        <w:numPr>
          <w:ilvl w:val="0"/>
          <w:numId w:val="15"/>
        </w:numPr>
        <w:spacing w:before="60" w:line="264" w:lineRule="auto"/>
        <w:jc w:val="both"/>
        <w:rPr>
          <w:rFonts w:eastAsia="Times New Roman" w:cstheme="minorHAnsi"/>
          <w:color w:val="404040" w:themeColor="text1" w:themeTint="BF"/>
          <w:sz w:val="20"/>
          <w:szCs w:val="20"/>
        </w:rPr>
      </w:pPr>
      <w:r>
        <w:rPr>
          <w:color w:val="404040" w:themeColor="text1" w:themeTint="BF"/>
          <w:sz w:val="20"/>
        </w:rPr>
        <w:t>L’ISS s</w:t>
      </w:r>
      <w:r w:rsidR="00FC4E3C">
        <w:rPr>
          <w:color w:val="404040" w:themeColor="text1" w:themeTint="BF"/>
          <w:sz w:val="20"/>
        </w:rPr>
        <w:t>’</w:t>
      </w:r>
      <w:r>
        <w:rPr>
          <w:color w:val="404040" w:themeColor="text1" w:themeTint="BF"/>
          <w:sz w:val="20"/>
        </w:rPr>
        <w:t>attend à ce que la réactivité du conseil d</w:t>
      </w:r>
      <w:r w:rsidR="00FC4E3C">
        <w:rPr>
          <w:color w:val="404040" w:themeColor="text1" w:themeTint="BF"/>
          <w:sz w:val="20"/>
        </w:rPr>
        <w:t>’</w:t>
      </w:r>
      <w:r>
        <w:rPr>
          <w:color w:val="404040" w:themeColor="text1" w:themeTint="BF"/>
          <w:sz w:val="20"/>
        </w:rPr>
        <w:t>administration soit claire lorsque le niveau de soutien au vote consultatif des actionnaires sur la rémunération est inférieur à 80</w:t>
      </w:r>
      <w:r w:rsidR="00FC4E3C">
        <w:rPr>
          <w:color w:val="404040" w:themeColor="text1" w:themeTint="BF"/>
          <w:sz w:val="20"/>
        </w:rPr>
        <w:t> </w:t>
      </w:r>
      <w:r>
        <w:rPr>
          <w:color w:val="404040" w:themeColor="text1" w:themeTint="BF"/>
          <w:sz w:val="20"/>
        </w:rPr>
        <w:t>% (plutôt que de 70</w:t>
      </w:r>
      <w:r w:rsidR="00FC4E3C">
        <w:rPr>
          <w:color w:val="404040" w:themeColor="text1" w:themeTint="BF"/>
          <w:sz w:val="20"/>
        </w:rPr>
        <w:t> </w:t>
      </w:r>
      <w:r>
        <w:rPr>
          <w:color w:val="404040" w:themeColor="text1" w:themeTint="BF"/>
          <w:sz w:val="20"/>
        </w:rPr>
        <w:t>%)</w:t>
      </w:r>
    </w:p>
    <w:p w14:paraId="1BA3302F" w14:textId="2655EC44" w:rsidR="00A12E9E" w:rsidRDefault="00A12E9E" w:rsidP="009D3A56">
      <w:pPr>
        <w:pStyle w:val="ListParagraph"/>
        <w:numPr>
          <w:ilvl w:val="0"/>
          <w:numId w:val="15"/>
        </w:numPr>
        <w:spacing w:before="60" w:line="264" w:lineRule="auto"/>
        <w:jc w:val="both"/>
        <w:rPr>
          <w:rFonts w:eastAsia="Times New Roman" w:cstheme="minorHAnsi"/>
          <w:color w:val="404040" w:themeColor="text1" w:themeTint="BF"/>
          <w:sz w:val="20"/>
          <w:szCs w:val="20"/>
        </w:rPr>
      </w:pPr>
      <w:r>
        <w:rPr>
          <w:color w:val="404040" w:themeColor="text1" w:themeTint="BF"/>
          <w:sz w:val="20"/>
        </w:rPr>
        <w:t>À compter de 2023, la politique portant sur la participation à un trop grand nombre de conseils d’administration pour les entreprises cotées en Bourse de croissance s</w:t>
      </w:r>
      <w:r w:rsidR="00FC4E3C">
        <w:rPr>
          <w:color w:val="404040" w:themeColor="text1" w:themeTint="BF"/>
          <w:sz w:val="20"/>
        </w:rPr>
        <w:t>’</w:t>
      </w:r>
      <w:r>
        <w:rPr>
          <w:color w:val="404040" w:themeColor="text1" w:themeTint="BF"/>
          <w:sz w:val="20"/>
        </w:rPr>
        <w:t>harmonisera avec la politique s’appliquant aux entreprises cotées à l’indice TSX</w:t>
      </w:r>
      <w:r w:rsidR="00FC4E3C">
        <w:rPr>
          <w:color w:val="404040" w:themeColor="text1" w:themeTint="BF"/>
          <w:sz w:val="20"/>
        </w:rPr>
        <w:t> </w:t>
      </w:r>
      <w:r>
        <w:rPr>
          <w:color w:val="404040" w:themeColor="text1" w:themeTint="BF"/>
          <w:sz w:val="20"/>
        </w:rPr>
        <w:t>: les administrateurs qui ne sont pas PDG ne devront pas siéger à plus de cinq conseils d</w:t>
      </w:r>
      <w:r w:rsidR="00FC4E3C">
        <w:rPr>
          <w:color w:val="404040" w:themeColor="text1" w:themeTint="BF"/>
          <w:sz w:val="20"/>
        </w:rPr>
        <w:t>’</w:t>
      </w:r>
      <w:r>
        <w:rPr>
          <w:color w:val="404040" w:themeColor="text1" w:themeTint="BF"/>
          <w:sz w:val="20"/>
        </w:rPr>
        <w:t>administration de sociétés publiques, les PDG ne devront pas siéger à plus de deux sociétés publiques, à l’exception de leurs propres sociétés</w:t>
      </w:r>
    </w:p>
    <w:p w14:paraId="55878EE7" w14:textId="2B8C4848" w:rsidR="00382A1A" w:rsidRPr="00363A6E" w:rsidRDefault="00A12E9E" w:rsidP="009D3A56">
      <w:pPr>
        <w:pStyle w:val="ListParagraph"/>
        <w:numPr>
          <w:ilvl w:val="0"/>
          <w:numId w:val="15"/>
        </w:numPr>
        <w:spacing w:before="60" w:line="264" w:lineRule="auto"/>
        <w:jc w:val="both"/>
        <w:rPr>
          <w:rFonts w:eastAsia="Times New Roman" w:cstheme="minorHAnsi"/>
          <w:color w:val="404040" w:themeColor="text1" w:themeTint="BF"/>
          <w:sz w:val="20"/>
          <w:szCs w:val="20"/>
        </w:rPr>
      </w:pPr>
      <w:r>
        <w:rPr>
          <w:color w:val="404040" w:themeColor="text1" w:themeTint="BF"/>
          <w:sz w:val="20"/>
        </w:rPr>
        <w:t>L’ISS recommandera de s’abstenir de voter pour le comité de rémunération (ou, s’il n’y</w:t>
      </w:r>
      <w:r w:rsidR="00904891">
        <w:rPr>
          <w:color w:val="404040" w:themeColor="text1" w:themeTint="BF"/>
          <w:sz w:val="20"/>
        </w:rPr>
        <w:t xml:space="preserve"> a</w:t>
      </w:r>
      <w:r>
        <w:rPr>
          <w:color w:val="404040" w:themeColor="text1" w:themeTint="BF"/>
          <w:sz w:val="20"/>
        </w:rPr>
        <w:t xml:space="preserve"> pas de comité de rémunération, le président du conseil d</w:t>
      </w:r>
      <w:r w:rsidR="00FC4E3C">
        <w:rPr>
          <w:color w:val="404040" w:themeColor="text1" w:themeTint="BF"/>
          <w:sz w:val="20"/>
        </w:rPr>
        <w:t>’</w:t>
      </w:r>
      <w:r>
        <w:rPr>
          <w:color w:val="404040" w:themeColor="text1" w:themeTint="BF"/>
          <w:sz w:val="20"/>
        </w:rPr>
        <w:t>administration) si l</w:t>
      </w:r>
      <w:r w:rsidR="00FC4E3C">
        <w:rPr>
          <w:color w:val="404040" w:themeColor="text1" w:themeTint="BF"/>
          <w:sz w:val="20"/>
        </w:rPr>
        <w:t>’</w:t>
      </w:r>
      <w:r>
        <w:rPr>
          <w:color w:val="404040" w:themeColor="text1" w:themeTint="BF"/>
          <w:sz w:val="20"/>
        </w:rPr>
        <w:t xml:space="preserve">entreprise maintient un </w:t>
      </w:r>
      <w:r w:rsidR="003E388B">
        <w:rPr>
          <w:color w:val="404040" w:themeColor="text1" w:themeTint="BF"/>
          <w:sz w:val="20"/>
        </w:rPr>
        <w:t>régime à réserve perpétuelle</w:t>
      </w:r>
      <w:r>
        <w:rPr>
          <w:color w:val="404040" w:themeColor="text1" w:themeTint="BF"/>
          <w:sz w:val="20"/>
        </w:rPr>
        <w:t>, n</w:t>
      </w:r>
      <w:r w:rsidR="00FC4E3C">
        <w:rPr>
          <w:color w:val="404040" w:themeColor="text1" w:themeTint="BF"/>
          <w:sz w:val="20"/>
        </w:rPr>
        <w:t>’</w:t>
      </w:r>
      <w:r>
        <w:rPr>
          <w:color w:val="404040" w:themeColor="text1" w:themeTint="BF"/>
          <w:sz w:val="20"/>
        </w:rPr>
        <w:t>a pas demandé l</w:t>
      </w:r>
      <w:r w:rsidR="00FC4E3C">
        <w:rPr>
          <w:color w:val="404040" w:themeColor="text1" w:themeTint="BF"/>
          <w:sz w:val="20"/>
        </w:rPr>
        <w:t>’</w:t>
      </w:r>
      <w:r>
        <w:rPr>
          <w:color w:val="404040" w:themeColor="text1" w:themeTint="BF"/>
          <w:sz w:val="20"/>
        </w:rPr>
        <w:t>approbation des actionnaires au cours des deux dernières années et ne demande pas l</w:t>
      </w:r>
      <w:r w:rsidR="00FC4E3C">
        <w:rPr>
          <w:color w:val="404040" w:themeColor="text1" w:themeTint="BF"/>
          <w:sz w:val="20"/>
        </w:rPr>
        <w:t>’</w:t>
      </w:r>
      <w:r>
        <w:rPr>
          <w:color w:val="404040" w:themeColor="text1" w:themeTint="BF"/>
          <w:sz w:val="20"/>
        </w:rPr>
        <w:t>approbation du plan lors de l</w:t>
      </w:r>
      <w:r w:rsidR="00FC4E3C">
        <w:rPr>
          <w:color w:val="404040" w:themeColor="text1" w:themeTint="BF"/>
          <w:sz w:val="20"/>
        </w:rPr>
        <w:t>’</w:t>
      </w:r>
      <w:r>
        <w:rPr>
          <w:color w:val="404040" w:themeColor="text1" w:themeTint="BF"/>
          <w:sz w:val="20"/>
        </w:rPr>
        <w:t>assemblée; cette politique s</w:t>
      </w:r>
      <w:r w:rsidR="00FC4E3C">
        <w:rPr>
          <w:color w:val="404040" w:themeColor="text1" w:themeTint="BF"/>
          <w:sz w:val="20"/>
        </w:rPr>
        <w:t>’</w:t>
      </w:r>
      <w:r>
        <w:rPr>
          <w:color w:val="404040" w:themeColor="text1" w:themeTint="BF"/>
          <w:sz w:val="20"/>
        </w:rPr>
        <w:t>applique aux plans adoptés avant une introduction en bourse</w:t>
      </w:r>
    </w:p>
    <w:p w14:paraId="3E1844F5" w14:textId="12D1D3A4" w:rsidR="00382A1A" w:rsidRPr="00515CCC" w:rsidRDefault="00382A1A" w:rsidP="00832E2E">
      <w:pPr>
        <w:pStyle w:val="BodyText"/>
        <w:spacing w:before="360" w:line="264" w:lineRule="auto"/>
        <w:ind w:left="0" w:firstLine="0"/>
        <w:rPr>
          <w:rFonts w:asciiTheme="minorHAnsi" w:hAnsiTheme="minorHAnsi" w:cstheme="minorHAnsi"/>
          <w:b/>
          <w:bCs/>
          <w:color w:val="404040" w:themeColor="text1" w:themeTint="BF"/>
          <w:spacing w:val="-1"/>
          <w:sz w:val="24"/>
          <w:szCs w:val="24"/>
        </w:rPr>
      </w:pPr>
      <w:r>
        <w:rPr>
          <w:rFonts w:asciiTheme="minorHAnsi" w:hAnsiTheme="minorHAnsi"/>
          <w:b/>
          <w:color w:val="404040" w:themeColor="text1" w:themeTint="BF"/>
          <w:sz w:val="24"/>
        </w:rPr>
        <w:t>Mises à jour des politiques de Glass Lewis</w:t>
      </w:r>
    </w:p>
    <w:p w14:paraId="5CBF17EC" w14:textId="5A1FA662" w:rsidR="00515CCC" w:rsidRDefault="00804400" w:rsidP="00832E2E">
      <w:pPr>
        <w:pStyle w:val="ListParagraph"/>
        <w:numPr>
          <w:ilvl w:val="0"/>
          <w:numId w:val="16"/>
        </w:numPr>
        <w:spacing w:before="60" w:line="264" w:lineRule="auto"/>
        <w:jc w:val="both"/>
        <w:rPr>
          <w:rFonts w:eastAsia="Times New Roman" w:cstheme="minorHAnsi"/>
          <w:color w:val="404040" w:themeColor="text1" w:themeTint="BF"/>
          <w:sz w:val="20"/>
          <w:szCs w:val="20"/>
        </w:rPr>
      </w:pPr>
      <w:r>
        <w:rPr>
          <w:color w:val="404040" w:themeColor="text1" w:themeTint="BF"/>
          <w:sz w:val="20"/>
        </w:rPr>
        <w:t>GL élargi</w:t>
      </w:r>
      <w:r w:rsidR="000E5D40">
        <w:rPr>
          <w:color w:val="404040" w:themeColor="text1" w:themeTint="BF"/>
          <w:sz w:val="20"/>
        </w:rPr>
        <w:t>ra</w:t>
      </w:r>
      <w:r>
        <w:rPr>
          <w:color w:val="404040" w:themeColor="text1" w:themeTint="BF"/>
          <w:sz w:val="20"/>
        </w:rPr>
        <w:t xml:space="preserve"> sa politique en matière de diversité de genre au sein des conseils d’administration afin de recommander généralement de s’abstenir de voter pour le président du comité des nominations lorsque le conseil comprend moins de deux administrateurs représentant la diversité de genre, ou pour l</w:t>
      </w:r>
      <w:r w:rsidR="00FC4E3C">
        <w:rPr>
          <w:color w:val="404040" w:themeColor="text1" w:themeTint="BF"/>
          <w:sz w:val="20"/>
        </w:rPr>
        <w:t>’</w:t>
      </w:r>
      <w:r>
        <w:rPr>
          <w:color w:val="404040" w:themeColor="text1" w:themeTint="BF"/>
          <w:sz w:val="20"/>
        </w:rPr>
        <w:t>ensemble du comité des nominations lors que le conseil ne comporte aucun administrateur représentant la diversité de genre (cette recommandation s’applique aux sociétés cotées à la TSX)</w:t>
      </w:r>
    </w:p>
    <w:p w14:paraId="19DF6B22" w14:textId="5BC9E817" w:rsidR="00804400" w:rsidRDefault="00804400" w:rsidP="00832E2E">
      <w:pPr>
        <w:pStyle w:val="ListParagraph"/>
        <w:numPr>
          <w:ilvl w:val="1"/>
          <w:numId w:val="16"/>
        </w:numPr>
        <w:spacing w:before="60" w:line="264" w:lineRule="auto"/>
        <w:jc w:val="both"/>
        <w:rPr>
          <w:rFonts w:eastAsia="Times New Roman" w:cstheme="minorHAnsi"/>
          <w:color w:val="404040" w:themeColor="text1" w:themeTint="BF"/>
          <w:sz w:val="20"/>
          <w:szCs w:val="20"/>
        </w:rPr>
      </w:pPr>
      <w:r>
        <w:rPr>
          <w:color w:val="404040" w:themeColor="text1" w:themeTint="BF"/>
          <w:sz w:val="20"/>
        </w:rPr>
        <w:t>Pour les sociétés TSXV, ainsi que pour les conseils d</w:t>
      </w:r>
      <w:r w:rsidR="00FC4E3C">
        <w:rPr>
          <w:color w:val="404040" w:themeColor="text1" w:themeTint="BF"/>
          <w:sz w:val="20"/>
        </w:rPr>
        <w:t>’</w:t>
      </w:r>
      <w:r>
        <w:rPr>
          <w:color w:val="404040" w:themeColor="text1" w:themeTint="BF"/>
          <w:sz w:val="20"/>
        </w:rPr>
        <w:t xml:space="preserve">administration comptant six administrateurs ou moins au total, </w:t>
      </w:r>
      <w:r w:rsidR="00904891">
        <w:rPr>
          <w:color w:val="404040" w:themeColor="text1" w:themeTint="BF"/>
          <w:sz w:val="20"/>
        </w:rPr>
        <w:t>GL</w:t>
      </w:r>
      <w:r>
        <w:rPr>
          <w:color w:val="404040" w:themeColor="text1" w:themeTint="BF"/>
          <w:sz w:val="20"/>
        </w:rPr>
        <w:t xml:space="preserve"> exigera, par sa politique, qu’il y ait au moins un administrateur représentant la diversité de genre</w:t>
      </w:r>
    </w:p>
    <w:p w14:paraId="1FED9325" w14:textId="382BCCB5" w:rsidR="00804400" w:rsidRDefault="00804400" w:rsidP="00832E2E">
      <w:pPr>
        <w:pStyle w:val="ListParagraph"/>
        <w:numPr>
          <w:ilvl w:val="0"/>
          <w:numId w:val="16"/>
        </w:numPr>
        <w:spacing w:before="60" w:line="264" w:lineRule="auto"/>
        <w:jc w:val="both"/>
        <w:rPr>
          <w:rFonts w:eastAsia="Times New Roman" w:cstheme="minorHAnsi"/>
          <w:color w:val="404040" w:themeColor="text1" w:themeTint="BF"/>
          <w:sz w:val="20"/>
          <w:szCs w:val="20"/>
        </w:rPr>
      </w:pPr>
      <w:r>
        <w:rPr>
          <w:color w:val="404040" w:themeColor="text1" w:themeTint="BF"/>
          <w:sz w:val="20"/>
        </w:rPr>
        <w:t>D’ici 2023, GL passera d</w:t>
      </w:r>
      <w:r w:rsidR="00FC4E3C">
        <w:rPr>
          <w:color w:val="404040" w:themeColor="text1" w:themeTint="BF"/>
          <w:sz w:val="20"/>
        </w:rPr>
        <w:t>’</w:t>
      </w:r>
      <w:r>
        <w:rPr>
          <w:color w:val="404040" w:themeColor="text1" w:themeTint="BF"/>
          <w:sz w:val="20"/>
        </w:rPr>
        <w:t>une approche basée sur un nombre fixe à une approche basée sur un pourcentage relativement à la diversité des genres. Ainsi, Glass Lewis recommandera généralement de s’abstenir de voter pour le président du comité de nominations si le conseil d’administration compte moins de 30</w:t>
      </w:r>
      <w:r w:rsidR="00FC4E3C">
        <w:rPr>
          <w:color w:val="404040" w:themeColor="text1" w:themeTint="BF"/>
          <w:sz w:val="20"/>
        </w:rPr>
        <w:t> </w:t>
      </w:r>
      <w:r>
        <w:rPr>
          <w:color w:val="404040" w:themeColor="text1" w:themeTint="BF"/>
          <w:sz w:val="20"/>
        </w:rPr>
        <w:t>% de diversité de genre divers (cela s’appliquera aux sociétés de l’indice TSX)</w:t>
      </w:r>
    </w:p>
    <w:p w14:paraId="28DEB50D" w14:textId="043B81D7" w:rsidR="00287D97" w:rsidRDefault="00804400" w:rsidP="00832E2E">
      <w:pPr>
        <w:pStyle w:val="ListParagraph"/>
        <w:numPr>
          <w:ilvl w:val="0"/>
          <w:numId w:val="16"/>
        </w:numPr>
        <w:spacing w:before="60" w:line="264" w:lineRule="auto"/>
        <w:jc w:val="both"/>
        <w:rPr>
          <w:rFonts w:eastAsia="Times New Roman" w:cstheme="minorHAnsi"/>
          <w:color w:val="404040" w:themeColor="text1" w:themeTint="BF"/>
          <w:sz w:val="20"/>
          <w:szCs w:val="20"/>
        </w:rPr>
      </w:pPr>
      <w:r>
        <w:rPr>
          <w:color w:val="404040" w:themeColor="text1" w:themeTint="BF"/>
          <w:sz w:val="20"/>
        </w:rPr>
        <w:t>GL élargira sa politique de «</w:t>
      </w:r>
      <w:r w:rsidR="00FC4E3C">
        <w:rPr>
          <w:color w:val="404040" w:themeColor="text1" w:themeTint="BF"/>
          <w:sz w:val="20"/>
        </w:rPr>
        <w:t> </w:t>
      </w:r>
      <w:r>
        <w:rPr>
          <w:color w:val="404040" w:themeColor="text1" w:themeTint="BF"/>
          <w:sz w:val="20"/>
        </w:rPr>
        <w:t>note au chapitre des préoccupations</w:t>
      </w:r>
      <w:r w:rsidR="00FC4E3C">
        <w:rPr>
          <w:color w:val="404040" w:themeColor="text1" w:themeTint="BF"/>
          <w:sz w:val="20"/>
        </w:rPr>
        <w:t> </w:t>
      </w:r>
      <w:r>
        <w:rPr>
          <w:color w:val="404040" w:themeColor="text1" w:themeTint="BF"/>
          <w:sz w:val="20"/>
        </w:rPr>
        <w:t>» portant sur les conseils d’administration ne fournissent pas de divulgation claire concernant la surveillance accordée pa</w:t>
      </w:r>
      <w:r w:rsidR="00A32813">
        <w:rPr>
          <w:color w:val="404040" w:themeColor="text1" w:themeTint="BF"/>
          <w:sz w:val="20"/>
        </w:rPr>
        <w:t>r</w:t>
      </w:r>
      <w:r>
        <w:rPr>
          <w:color w:val="404040" w:themeColor="text1" w:themeTint="BF"/>
          <w:sz w:val="20"/>
        </w:rPr>
        <w:t xml:space="preserve"> le conseil aux questions environnementales ou sociales pour y inclure les entreprises de l’indice composé S&amp;P/TSX</w:t>
      </w:r>
    </w:p>
    <w:p w14:paraId="54D1ADB4" w14:textId="70004441" w:rsidR="005B0E40" w:rsidRDefault="005B0E40" w:rsidP="00832E2E">
      <w:pPr>
        <w:pStyle w:val="ListParagraph"/>
        <w:numPr>
          <w:ilvl w:val="0"/>
          <w:numId w:val="16"/>
        </w:numPr>
        <w:spacing w:before="60" w:line="264" w:lineRule="auto"/>
        <w:jc w:val="both"/>
        <w:rPr>
          <w:rFonts w:eastAsia="Times New Roman" w:cstheme="minorHAnsi"/>
          <w:color w:val="404040" w:themeColor="text1" w:themeTint="BF"/>
          <w:sz w:val="20"/>
          <w:szCs w:val="20"/>
        </w:rPr>
      </w:pPr>
      <w:r>
        <w:rPr>
          <w:color w:val="404040" w:themeColor="text1" w:themeTint="BF"/>
          <w:sz w:val="20"/>
        </w:rPr>
        <w:t>GL recommande</w:t>
      </w:r>
      <w:r w:rsidR="00FC4E3C">
        <w:rPr>
          <w:color w:val="404040" w:themeColor="text1" w:themeTint="BF"/>
          <w:sz w:val="20"/>
        </w:rPr>
        <w:t>ra</w:t>
      </w:r>
      <w:r>
        <w:rPr>
          <w:color w:val="404040" w:themeColor="text1" w:themeTint="BF"/>
          <w:sz w:val="20"/>
        </w:rPr>
        <w:t xml:space="preserve"> de s’abstenir de voter pour le président du comité de gouvernance d’une entreprise ayant une structure d</w:t>
      </w:r>
      <w:r w:rsidR="00FC4E3C">
        <w:rPr>
          <w:color w:val="404040" w:themeColor="text1" w:themeTint="BF"/>
          <w:sz w:val="20"/>
        </w:rPr>
        <w:t>’</w:t>
      </w:r>
      <w:r>
        <w:rPr>
          <w:color w:val="404040" w:themeColor="text1" w:themeTint="BF"/>
          <w:sz w:val="20"/>
        </w:rPr>
        <w:t>actions multiclasses et des droits de vote inégaux lorsque l</w:t>
      </w:r>
      <w:r w:rsidR="00FC4E3C">
        <w:rPr>
          <w:color w:val="404040" w:themeColor="text1" w:themeTint="BF"/>
          <w:sz w:val="20"/>
        </w:rPr>
        <w:t>’</w:t>
      </w:r>
      <w:r>
        <w:rPr>
          <w:color w:val="404040" w:themeColor="text1" w:themeTint="BF"/>
          <w:sz w:val="20"/>
        </w:rPr>
        <w:t>entreprise ne prévoit pas une révision de la structure d</w:t>
      </w:r>
      <w:r w:rsidR="00FC4E3C">
        <w:rPr>
          <w:color w:val="404040" w:themeColor="text1" w:themeTint="BF"/>
          <w:sz w:val="20"/>
        </w:rPr>
        <w:t>’</w:t>
      </w:r>
      <w:r>
        <w:rPr>
          <w:color w:val="404040" w:themeColor="text1" w:themeTint="BF"/>
          <w:sz w:val="20"/>
        </w:rPr>
        <w:t>actions multiclasses dans un délai raisonnable (généralement sept ans ou moins)</w:t>
      </w:r>
    </w:p>
    <w:p w14:paraId="18B277CD" w14:textId="48C93DE3" w:rsidR="005B0E40" w:rsidRDefault="005B0E40" w:rsidP="00832E2E">
      <w:pPr>
        <w:pStyle w:val="ListParagraph"/>
        <w:numPr>
          <w:ilvl w:val="0"/>
          <w:numId w:val="16"/>
        </w:numPr>
        <w:spacing w:before="60" w:line="264" w:lineRule="auto"/>
        <w:jc w:val="both"/>
        <w:rPr>
          <w:rFonts w:eastAsia="Times New Roman" w:cstheme="minorHAnsi"/>
          <w:color w:val="404040" w:themeColor="text1" w:themeTint="BF"/>
          <w:sz w:val="20"/>
          <w:szCs w:val="20"/>
        </w:rPr>
      </w:pPr>
      <w:r>
        <w:rPr>
          <w:color w:val="404040" w:themeColor="text1" w:themeTint="BF"/>
          <w:sz w:val="20"/>
        </w:rPr>
        <w:t>GL recommandera de s’abstenir de voter pour le président du comité de rémunération, le président du comité des nominations ou le président du comité de gouvernance si le comité est composé de moins de deux membres pour la majorité de l</w:t>
      </w:r>
      <w:r w:rsidR="00FC4E3C">
        <w:rPr>
          <w:color w:val="404040" w:themeColor="text1" w:themeTint="BF"/>
          <w:sz w:val="20"/>
        </w:rPr>
        <w:t>’</w:t>
      </w:r>
      <w:r>
        <w:rPr>
          <w:color w:val="404040" w:themeColor="text1" w:themeTint="BF"/>
          <w:sz w:val="20"/>
        </w:rPr>
        <w:t xml:space="preserve">exercice </w:t>
      </w:r>
      <w:r w:rsidR="00A32813">
        <w:rPr>
          <w:color w:val="404040" w:themeColor="text1" w:themeTint="BF"/>
          <w:sz w:val="20"/>
        </w:rPr>
        <w:t xml:space="preserve">financier </w:t>
      </w:r>
      <w:r>
        <w:rPr>
          <w:color w:val="404040" w:themeColor="text1" w:themeTint="BF"/>
          <w:sz w:val="20"/>
        </w:rPr>
        <w:t>(s’applique à toutes les bourses canadiennes)</w:t>
      </w:r>
    </w:p>
    <w:p w14:paraId="72050253" w14:textId="60459817" w:rsidR="005B0E40" w:rsidRDefault="009540F7" w:rsidP="00832E2E">
      <w:pPr>
        <w:pStyle w:val="ListParagraph"/>
        <w:numPr>
          <w:ilvl w:val="0"/>
          <w:numId w:val="16"/>
        </w:numPr>
        <w:spacing w:before="60" w:line="264" w:lineRule="auto"/>
        <w:jc w:val="both"/>
        <w:rPr>
          <w:rFonts w:eastAsia="Times New Roman" w:cstheme="minorHAnsi"/>
          <w:color w:val="404040" w:themeColor="text1" w:themeTint="BF"/>
          <w:sz w:val="20"/>
          <w:szCs w:val="20"/>
        </w:rPr>
      </w:pPr>
      <w:r>
        <w:rPr>
          <w:color w:val="404040" w:themeColor="text1" w:themeTint="BF"/>
          <w:sz w:val="20"/>
        </w:rPr>
        <w:t xml:space="preserve">GL clarifie son approche envers les questions ESG en demandant aux entreprises d’évaluer toutes les questions environnementales et sociales en gardant à l’esprit la valeur à long terme pour les actionnaires et de prendre </w:t>
      </w:r>
      <w:r>
        <w:rPr>
          <w:color w:val="404040" w:themeColor="text1" w:themeTint="BF"/>
          <w:sz w:val="20"/>
        </w:rPr>
        <w:lastRenderedPageBreak/>
        <w:t>en compte les facteurs environnementaux et sociaux importants dans tous les aspects des opérations tout en expliquant aux actionnaires le conseil surveille ces facteurs et atténue les risques</w:t>
      </w:r>
    </w:p>
    <w:p w14:paraId="4F73A906" w14:textId="4EFC04C7" w:rsidR="005B0E40" w:rsidRDefault="00CC354C" w:rsidP="00832E2E">
      <w:pPr>
        <w:pStyle w:val="ListParagraph"/>
        <w:numPr>
          <w:ilvl w:val="1"/>
          <w:numId w:val="16"/>
        </w:numPr>
        <w:spacing w:before="60" w:line="264" w:lineRule="auto"/>
        <w:jc w:val="both"/>
        <w:rPr>
          <w:rFonts w:eastAsia="Times New Roman" w:cstheme="minorHAnsi"/>
          <w:color w:val="404040" w:themeColor="text1" w:themeTint="BF"/>
          <w:sz w:val="20"/>
          <w:szCs w:val="20"/>
        </w:rPr>
      </w:pPr>
      <w:r>
        <w:rPr>
          <w:color w:val="404040" w:themeColor="text1" w:themeTint="BF"/>
          <w:sz w:val="20"/>
        </w:rPr>
        <w:t>Pour les entreprises de l’indice S&amp;P/TSX</w:t>
      </w:r>
      <w:r w:rsidR="00FC4E3C">
        <w:rPr>
          <w:color w:val="404040" w:themeColor="text1" w:themeTint="BF"/>
          <w:sz w:val="20"/>
        </w:rPr>
        <w:t> </w:t>
      </w:r>
      <w:r>
        <w:rPr>
          <w:color w:val="404040" w:themeColor="text1" w:themeTint="BF"/>
          <w:sz w:val="20"/>
        </w:rPr>
        <w:t>60 qui ne fournissent pas de divulgation explicite concernant le rôle du conseil dans la supervision des questions relatives aux facteurs ESG, Glass Lewis recommande généralement de s’abstenir de voter pour le président du comité de gouvernance</w:t>
      </w:r>
    </w:p>
    <w:p w14:paraId="2EED755E" w14:textId="2EF13066" w:rsidR="00CC354C" w:rsidRDefault="00CC354C" w:rsidP="00832E2E">
      <w:pPr>
        <w:pStyle w:val="ListParagraph"/>
        <w:numPr>
          <w:ilvl w:val="1"/>
          <w:numId w:val="16"/>
        </w:numPr>
        <w:spacing w:before="60" w:line="264" w:lineRule="auto"/>
        <w:jc w:val="both"/>
        <w:rPr>
          <w:rFonts w:eastAsia="Times New Roman" w:cstheme="minorHAnsi"/>
          <w:color w:val="404040" w:themeColor="text1" w:themeTint="BF"/>
          <w:sz w:val="20"/>
          <w:szCs w:val="20"/>
        </w:rPr>
      </w:pPr>
      <w:r>
        <w:rPr>
          <w:color w:val="404040" w:themeColor="text1" w:themeTint="BF"/>
          <w:sz w:val="20"/>
        </w:rPr>
        <w:t xml:space="preserve">Glass Lewis examinera </w:t>
      </w:r>
      <w:r w:rsidR="00A660DF">
        <w:rPr>
          <w:color w:val="404040" w:themeColor="text1" w:themeTint="BF"/>
          <w:sz w:val="20"/>
        </w:rPr>
        <w:t>les circulaires d’information</w:t>
      </w:r>
      <w:r>
        <w:rPr>
          <w:color w:val="404040" w:themeColor="text1" w:themeTint="BF"/>
          <w:sz w:val="20"/>
        </w:rPr>
        <w:t xml:space="preserve"> et les documents de gouvernance des entreprises (tels que les chartes de comités, pour déterminer la surveillance du conseil d’administration des risques liés aux facteurs ESG ainsi que leur responsabilité face à ces risques)</w:t>
      </w:r>
    </w:p>
    <w:p w14:paraId="0B230B23" w14:textId="7CF7D4FC" w:rsidR="00CC354C" w:rsidRDefault="00CC354C" w:rsidP="00832E2E">
      <w:pPr>
        <w:pStyle w:val="ListParagraph"/>
        <w:numPr>
          <w:ilvl w:val="1"/>
          <w:numId w:val="16"/>
        </w:numPr>
        <w:spacing w:before="60" w:line="264" w:lineRule="auto"/>
        <w:jc w:val="both"/>
        <w:rPr>
          <w:rFonts w:eastAsia="Times New Roman" w:cstheme="minorHAnsi"/>
          <w:color w:val="404040" w:themeColor="text1" w:themeTint="BF"/>
          <w:sz w:val="20"/>
          <w:szCs w:val="20"/>
        </w:rPr>
      </w:pPr>
      <w:r>
        <w:rPr>
          <w:color w:val="404040" w:themeColor="text1" w:themeTint="BF"/>
          <w:sz w:val="20"/>
        </w:rPr>
        <w:t>Lorsqu’il estime qu</w:t>
      </w:r>
      <w:r w:rsidR="00FC4E3C">
        <w:rPr>
          <w:color w:val="404040" w:themeColor="text1" w:themeTint="BF"/>
          <w:sz w:val="20"/>
        </w:rPr>
        <w:t>’</w:t>
      </w:r>
      <w:r>
        <w:rPr>
          <w:color w:val="404040" w:themeColor="text1" w:themeTint="BF"/>
          <w:sz w:val="20"/>
        </w:rPr>
        <w:t>un</w:t>
      </w:r>
      <w:r w:rsidR="00FC4E3C">
        <w:rPr>
          <w:color w:val="404040" w:themeColor="text1" w:themeTint="BF"/>
          <w:sz w:val="20"/>
        </w:rPr>
        <w:t>e entreprise n'a pas correctement géré ou atténué un</w:t>
      </w:r>
      <w:r>
        <w:rPr>
          <w:color w:val="404040" w:themeColor="text1" w:themeTint="BF"/>
          <w:sz w:val="20"/>
        </w:rPr>
        <w:t xml:space="preserve"> risque lié aux facteurs ESG, Glass Lewis peut recommander de s’abstenir de voter pour les membres du conseil d’administration qui sont responsables de la surveillance de ces risques (en l</w:t>
      </w:r>
      <w:r w:rsidR="00FC4E3C">
        <w:rPr>
          <w:color w:val="404040" w:themeColor="text1" w:themeTint="BF"/>
          <w:sz w:val="20"/>
        </w:rPr>
        <w:t>’</w:t>
      </w:r>
      <w:r>
        <w:rPr>
          <w:color w:val="404040" w:themeColor="text1" w:themeTint="BF"/>
          <w:sz w:val="20"/>
        </w:rPr>
        <w:t>absence d</w:t>
      </w:r>
      <w:r w:rsidR="00FC4E3C">
        <w:rPr>
          <w:color w:val="404040" w:themeColor="text1" w:themeTint="BF"/>
          <w:sz w:val="20"/>
        </w:rPr>
        <w:t>’</w:t>
      </w:r>
      <w:r>
        <w:rPr>
          <w:color w:val="404040" w:themeColor="text1" w:themeTint="BF"/>
          <w:sz w:val="20"/>
        </w:rPr>
        <w:t>une supervision explicite du conseil d’administration,</w:t>
      </w:r>
      <w:r w:rsidR="00FC4E3C">
        <w:rPr>
          <w:color w:val="404040" w:themeColor="text1" w:themeTint="BF"/>
          <w:sz w:val="20"/>
        </w:rPr>
        <w:t xml:space="preserve"> </w:t>
      </w:r>
      <w:r>
        <w:rPr>
          <w:color w:val="404040" w:themeColor="text1" w:themeTint="BF"/>
          <w:sz w:val="20"/>
        </w:rPr>
        <w:t>Glass Lewis peut recommander de s’abstenir de voter pour les membres du comité d’audit)</w:t>
      </w:r>
    </w:p>
    <w:p w14:paraId="28A8E219" w14:textId="63E2C09E" w:rsidR="00745DFB" w:rsidRDefault="00B90046" w:rsidP="00832E2E">
      <w:pPr>
        <w:pStyle w:val="ListParagraph"/>
        <w:numPr>
          <w:ilvl w:val="0"/>
          <w:numId w:val="16"/>
        </w:numPr>
        <w:spacing w:before="60" w:line="264" w:lineRule="auto"/>
        <w:jc w:val="both"/>
        <w:rPr>
          <w:rFonts w:eastAsia="Times New Roman" w:cstheme="minorHAnsi"/>
          <w:color w:val="404040" w:themeColor="text1" w:themeTint="BF"/>
          <w:sz w:val="20"/>
          <w:szCs w:val="20"/>
        </w:rPr>
      </w:pPr>
      <w:r>
        <w:rPr>
          <w:color w:val="404040" w:themeColor="text1" w:themeTint="BF"/>
          <w:sz w:val="20"/>
        </w:rPr>
        <w:t>Glass Lewis clarifie son approche concernant l</w:t>
      </w:r>
      <w:r w:rsidR="00FC4E3C">
        <w:rPr>
          <w:color w:val="404040" w:themeColor="text1" w:themeTint="BF"/>
          <w:sz w:val="20"/>
        </w:rPr>
        <w:t>’</w:t>
      </w:r>
      <w:r>
        <w:rPr>
          <w:color w:val="404040" w:themeColor="text1" w:themeTint="BF"/>
          <w:sz w:val="20"/>
        </w:rPr>
        <w:t>utilisation des indicateurs ESG dans les programmes de rémunération des hauts dirigeants; Glass Lewis ne maintient pas de politique relative à l</w:t>
      </w:r>
      <w:r w:rsidR="00FC4E3C">
        <w:rPr>
          <w:color w:val="404040" w:themeColor="text1" w:themeTint="BF"/>
          <w:sz w:val="20"/>
        </w:rPr>
        <w:t>’</w:t>
      </w:r>
      <w:r>
        <w:rPr>
          <w:color w:val="404040" w:themeColor="text1" w:themeTint="BF"/>
          <w:sz w:val="20"/>
        </w:rPr>
        <w:t xml:space="preserve">inclusion de tels indicateurs. Toutefois, dans les cas où </w:t>
      </w:r>
      <w:r w:rsidR="00FC4E3C">
        <w:rPr>
          <w:color w:val="404040" w:themeColor="text1" w:themeTint="BF"/>
          <w:sz w:val="20"/>
        </w:rPr>
        <w:t>une entreprise les utilise</w:t>
      </w:r>
      <w:r>
        <w:rPr>
          <w:color w:val="404040" w:themeColor="text1" w:themeTint="BF"/>
          <w:sz w:val="20"/>
        </w:rPr>
        <w:t>, conformément à d</w:t>
      </w:r>
      <w:r w:rsidR="00FC4E3C">
        <w:rPr>
          <w:color w:val="404040" w:themeColor="text1" w:themeTint="BF"/>
          <w:sz w:val="20"/>
        </w:rPr>
        <w:t>’</w:t>
      </w:r>
      <w:r>
        <w:rPr>
          <w:color w:val="404040" w:themeColor="text1" w:themeTint="BF"/>
          <w:sz w:val="20"/>
        </w:rPr>
        <w:t>autres indicateurs, Glass Lewis s</w:t>
      </w:r>
      <w:r w:rsidR="00FC4E3C">
        <w:rPr>
          <w:color w:val="404040" w:themeColor="text1" w:themeTint="BF"/>
          <w:sz w:val="20"/>
        </w:rPr>
        <w:t>’</w:t>
      </w:r>
      <w:r>
        <w:rPr>
          <w:color w:val="404040" w:themeColor="text1" w:themeTint="BF"/>
          <w:sz w:val="20"/>
        </w:rPr>
        <w:t xml:space="preserve">attend à une divulgation rigoureuse des indicateurs sélectionnés, à la précision des objectifs de performance et à l’établissement des </w:t>
      </w:r>
      <w:r w:rsidR="003E388B">
        <w:rPr>
          <w:color w:val="404040" w:themeColor="text1" w:themeTint="BF"/>
          <w:sz w:val="20"/>
        </w:rPr>
        <w:t>paiements potentiels</w:t>
      </w:r>
    </w:p>
    <w:p w14:paraId="74C8B74A" w14:textId="45909980" w:rsidR="00745DFB" w:rsidRDefault="00745DFB" w:rsidP="00832E2E">
      <w:pPr>
        <w:pStyle w:val="ListParagraph"/>
        <w:numPr>
          <w:ilvl w:val="1"/>
          <w:numId w:val="16"/>
        </w:numPr>
        <w:spacing w:before="60" w:line="264" w:lineRule="auto"/>
        <w:jc w:val="both"/>
        <w:rPr>
          <w:rFonts w:eastAsia="Times New Roman" w:cstheme="minorHAnsi"/>
          <w:color w:val="404040" w:themeColor="text1" w:themeTint="BF"/>
          <w:sz w:val="20"/>
          <w:szCs w:val="20"/>
        </w:rPr>
      </w:pPr>
      <w:r>
        <w:rPr>
          <w:color w:val="404040" w:themeColor="text1" w:themeTint="BF"/>
          <w:sz w:val="20"/>
        </w:rPr>
        <w:t xml:space="preserve">Pour les mesures qualitatives, une divulgation claire </w:t>
      </w:r>
      <w:r w:rsidR="00FC4E3C">
        <w:rPr>
          <w:color w:val="404040" w:themeColor="text1" w:themeTint="BF"/>
          <w:sz w:val="20"/>
        </w:rPr>
        <w:t>de</w:t>
      </w:r>
      <w:r>
        <w:rPr>
          <w:color w:val="404040" w:themeColor="text1" w:themeTint="BF"/>
          <w:sz w:val="20"/>
        </w:rPr>
        <w:t xml:space="preserve"> la façon dont les</w:t>
      </w:r>
      <w:r w:rsidR="00FC4E3C">
        <w:rPr>
          <w:color w:val="404040" w:themeColor="text1" w:themeTint="BF"/>
          <w:sz w:val="20"/>
        </w:rPr>
        <w:t xml:space="preserve"> entreprises ont évalué ou évalueront ces mesures </w:t>
      </w:r>
      <w:r>
        <w:rPr>
          <w:color w:val="404040" w:themeColor="text1" w:themeTint="BF"/>
          <w:sz w:val="20"/>
        </w:rPr>
        <w:t>doit être fournie</w:t>
      </w:r>
    </w:p>
    <w:p w14:paraId="33CC17F4" w14:textId="77777777" w:rsidR="00515CCC" w:rsidRDefault="00515CCC" w:rsidP="00832E2E">
      <w:pPr>
        <w:spacing w:before="60" w:line="264" w:lineRule="auto"/>
        <w:jc w:val="both"/>
        <w:rPr>
          <w:rFonts w:eastAsia="Times New Roman" w:cstheme="minorHAnsi"/>
          <w:color w:val="404040" w:themeColor="text1" w:themeTint="BF"/>
          <w:sz w:val="20"/>
          <w:szCs w:val="20"/>
        </w:rPr>
      </w:pPr>
    </w:p>
    <w:p w14:paraId="04BE46C9" w14:textId="40D8945D" w:rsidR="00796A6D" w:rsidRPr="000E6998" w:rsidRDefault="00796A6D" w:rsidP="00832E2E">
      <w:pPr>
        <w:spacing w:before="60" w:line="264" w:lineRule="auto"/>
        <w:jc w:val="both"/>
        <w:rPr>
          <w:rFonts w:eastAsia="Times New Roman" w:cstheme="minorHAnsi"/>
          <w:color w:val="404040" w:themeColor="text1" w:themeTint="BF"/>
          <w:sz w:val="20"/>
          <w:szCs w:val="20"/>
        </w:rPr>
      </w:pPr>
      <w:r>
        <w:rPr>
          <w:color w:val="404040" w:themeColor="text1" w:themeTint="BF"/>
          <w:sz w:val="20"/>
        </w:rPr>
        <w:t>Les recommandations d</w:t>
      </w:r>
      <w:r w:rsidR="000E5D40">
        <w:rPr>
          <w:color w:val="404040" w:themeColor="text1" w:themeTint="BF"/>
          <w:sz w:val="20"/>
        </w:rPr>
        <w:t>es</w:t>
      </w:r>
      <w:r>
        <w:rPr>
          <w:color w:val="404040" w:themeColor="text1" w:themeTint="BF"/>
          <w:sz w:val="20"/>
        </w:rPr>
        <w:t xml:space="preserve"> conseiller</w:t>
      </w:r>
      <w:r w:rsidR="000E5D40">
        <w:rPr>
          <w:color w:val="404040" w:themeColor="text1" w:themeTint="BF"/>
          <w:sz w:val="20"/>
        </w:rPr>
        <w:t>s</w:t>
      </w:r>
      <w:r>
        <w:rPr>
          <w:color w:val="404040" w:themeColor="text1" w:themeTint="BF"/>
          <w:sz w:val="20"/>
        </w:rPr>
        <w:t xml:space="preserve"> en procuration peuvent avoir une incidence importante sur les résultats des votes lors des assemblées d’actionnaires. Les émetteurs devraient être au courant des mises à jour des politiques de l</w:t>
      </w:r>
      <w:r w:rsidR="00FC4E3C">
        <w:rPr>
          <w:color w:val="404040" w:themeColor="text1" w:themeTint="BF"/>
          <w:sz w:val="20"/>
        </w:rPr>
        <w:t>’</w:t>
      </w:r>
      <w:r>
        <w:rPr>
          <w:color w:val="404040" w:themeColor="text1" w:themeTint="BF"/>
          <w:sz w:val="20"/>
        </w:rPr>
        <w:t>ISS et de Glass Lewis ainsi que des répercussions potentielles de celles-ci. Ceci étant dit, sur la base de l’expérience de Hugessen, il existe une volonté croissante, en particulier parmi les actionnaires institutionnels, d’évaluer les programmes de rémunération des entreprises de manière nuancée au cas par cas, ce qui souligne l’importance de fournir une divulgation claire et transparente ainsi que de maintenir une communication ouverte avec les actionnaires.</w:t>
      </w:r>
    </w:p>
    <w:p w14:paraId="461EC808" w14:textId="305F461B" w:rsidR="0096711F" w:rsidRPr="000E6998" w:rsidRDefault="0096711F" w:rsidP="00832E2E">
      <w:pPr>
        <w:pStyle w:val="BodyText"/>
        <w:tabs>
          <w:tab w:val="left" w:pos="911"/>
        </w:tabs>
        <w:spacing w:before="60" w:line="264" w:lineRule="auto"/>
        <w:ind w:left="0" w:right="345" w:firstLine="0"/>
        <w:rPr>
          <w:rFonts w:asciiTheme="minorHAnsi" w:hAnsiTheme="minorHAnsi" w:cstheme="minorHAnsi"/>
          <w:color w:val="404040" w:themeColor="text1" w:themeTint="BF"/>
          <w:sz w:val="20"/>
          <w:szCs w:val="20"/>
        </w:rPr>
      </w:pPr>
    </w:p>
    <w:p w14:paraId="407E41DB" w14:textId="3B70BE12" w:rsidR="00796A6D" w:rsidRPr="004D28F3" w:rsidRDefault="007D3E27" w:rsidP="00832E2E">
      <w:pPr>
        <w:pStyle w:val="BodyText"/>
        <w:tabs>
          <w:tab w:val="left" w:pos="911"/>
        </w:tabs>
        <w:spacing w:before="60" w:line="264" w:lineRule="auto"/>
        <w:ind w:left="0" w:right="345" w:firstLine="0"/>
        <w:rPr>
          <w:rFonts w:asciiTheme="minorHAnsi" w:hAnsiTheme="minorHAnsi" w:cstheme="minorHAnsi"/>
          <w:color w:val="404040" w:themeColor="text1" w:themeTint="BF"/>
          <w:sz w:val="20"/>
          <w:szCs w:val="20"/>
        </w:rPr>
      </w:pPr>
      <w:r>
        <w:rPr>
          <w:rFonts w:asciiTheme="minorHAnsi" w:hAnsiTheme="minorHAnsi"/>
          <w:color w:val="404040" w:themeColor="text1" w:themeTint="BF"/>
          <w:sz w:val="20"/>
        </w:rPr>
        <w:t>Pour de plus amples informations ou pour obtenir du soutien relativement au contexte unique de votre organisation, nous vous invitons à contacter un consultant Hugessen.</w:t>
      </w:r>
    </w:p>
    <w:p w14:paraId="185EB7CF" w14:textId="027FB790" w:rsidR="00796A6D" w:rsidRDefault="00796A6D" w:rsidP="00832E2E">
      <w:pPr>
        <w:pStyle w:val="BodyText"/>
        <w:tabs>
          <w:tab w:val="left" w:pos="911"/>
        </w:tabs>
        <w:spacing w:before="60" w:line="264" w:lineRule="auto"/>
        <w:ind w:left="0" w:right="345" w:firstLine="0"/>
        <w:rPr>
          <w:rFonts w:asciiTheme="minorHAnsi" w:hAnsiTheme="minorHAnsi" w:cstheme="minorHAnsi"/>
          <w:color w:val="404040" w:themeColor="text1" w:themeTint="BF"/>
          <w:sz w:val="20"/>
          <w:szCs w:val="20"/>
        </w:rPr>
      </w:pPr>
    </w:p>
    <w:p w14:paraId="78B1BBE4" w14:textId="77777777" w:rsidR="008506D6" w:rsidRPr="004D28F3" w:rsidRDefault="008506D6" w:rsidP="00832E2E">
      <w:pPr>
        <w:pStyle w:val="BodyText"/>
        <w:tabs>
          <w:tab w:val="left" w:pos="911"/>
        </w:tabs>
        <w:spacing w:before="60" w:line="264" w:lineRule="auto"/>
        <w:ind w:left="0" w:right="345" w:firstLine="0"/>
        <w:rPr>
          <w:rFonts w:asciiTheme="minorHAnsi" w:hAnsiTheme="minorHAnsi" w:cstheme="minorHAnsi"/>
          <w:color w:val="404040" w:themeColor="text1" w:themeTint="BF"/>
          <w:sz w:val="20"/>
          <w:szCs w:val="20"/>
        </w:rPr>
      </w:pPr>
    </w:p>
    <w:p w14:paraId="0F1AB112" w14:textId="16F22913" w:rsidR="006675D9" w:rsidRPr="0005395B" w:rsidRDefault="009A4460" w:rsidP="00832E2E">
      <w:pPr>
        <w:spacing w:line="264" w:lineRule="auto"/>
        <w:rPr>
          <w:rFonts w:cstheme="minorHAnsi"/>
          <w:b/>
          <w:color w:val="F0531E"/>
          <w:sz w:val="20"/>
          <w:szCs w:val="20"/>
        </w:rPr>
      </w:pPr>
      <w:r>
        <w:rPr>
          <w:b/>
          <w:color w:val="F0531E"/>
          <w:sz w:val="20"/>
        </w:rPr>
        <w:t>RICHARD LIU</w:t>
      </w:r>
      <w:r>
        <w:rPr>
          <w:b/>
          <w:color w:val="F0531E"/>
          <w:sz w:val="20"/>
        </w:rPr>
        <w:tab/>
      </w:r>
      <w:r>
        <w:rPr>
          <w:b/>
          <w:color w:val="F0531E"/>
          <w:sz w:val="20"/>
        </w:rPr>
        <w:tab/>
      </w:r>
      <w:r>
        <w:rPr>
          <w:b/>
          <w:color w:val="F0531E"/>
          <w:sz w:val="20"/>
        </w:rPr>
        <w:tab/>
      </w:r>
      <w:r>
        <w:rPr>
          <w:b/>
          <w:color w:val="F0531E"/>
          <w:sz w:val="20"/>
        </w:rPr>
        <w:tab/>
      </w:r>
      <w:r>
        <w:rPr>
          <w:b/>
          <w:color w:val="F0531E"/>
          <w:sz w:val="20"/>
        </w:rPr>
        <w:tab/>
        <w:t>MICHAEL SMALL</w:t>
      </w:r>
    </w:p>
    <w:p w14:paraId="0E07B258" w14:textId="5D471874" w:rsidR="006675D9" w:rsidRPr="004D28F3" w:rsidRDefault="002833FA" w:rsidP="00832E2E">
      <w:pPr>
        <w:spacing w:line="264" w:lineRule="auto"/>
        <w:rPr>
          <w:rFonts w:cstheme="minorHAnsi"/>
          <w:bCs/>
          <w:color w:val="404040" w:themeColor="text1" w:themeTint="BF"/>
          <w:sz w:val="20"/>
          <w:szCs w:val="20"/>
        </w:rPr>
      </w:pPr>
      <w:r>
        <w:rPr>
          <w:color w:val="404040" w:themeColor="text1" w:themeTint="BF"/>
          <w:sz w:val="20"/>
        </w:rPr>
        <w:t xml:space="preserve">Directeur </w:t>
      </w:r>
      <w:r w:rsidR="00043B89">
        <w:rPr>
          <w:color w:val="404040" w:themeColor="text1" w:themeTint="BF"/>
          <w:sz w:val="20"/>
        </w:rPr>
        <w:tab/>
      </w:r>
      <w:r w:rsidR="00043B89">
        <w:rPr>
          <w:color w:val="404040" w:themeColor="text1" w:themeTint="BF"/>
          <w:sz w:val="20"/>
        </w:rPr>
        <w:tab/>
      </w:r>
      <w:r w:rsidR="00043B89">
        <w:rPr>
          <w:color w:val="404040" w:themeColor="text1" w:themeTint="BF"/>
          <w:sz w:val="20"/>
        </w:rPr>
        <w:tab/>
      </w:r>
      <w:r w:rsidR="00043B89">
        <w:rPr>
          <w:color w:val="404040" w:themeColor="text1" w:themeTint="BF"/>
          <w:sz w:val="20"/>
        </w:rPr>
        <w:tab/>
      </w:r>
      <w:r>
        <w:rPr>
          <w:color w:val="404040" w:themeColor="text1" w:themeTint="BF"/>
          <w:sz w:val="20"/>
        </w:rPr>
        <w:tab/>
        <w:t>Conseiller</w:t>
      </w:r>
      <w:r>
        <w:rPr>
          <w:color w:val="404040" w:themeColor="text1" w:themeTint="BF"/>
          <w:sz w:val="20"/>
        </w:rPr>
        <w:tab/>
      </w:r>
      <w:r>
        <w:rPr>
          <w:color w:val="404040" w:themeColor="text1" w:themeTint="BF"/>
          <w:sz w:val="20"/>
        </w:rPr>
        <w:tab/>
      </w:r>
      <w:r>
        <w:rPr>
          <w:color w:val="404040" w:themeColor="text1" w:themeTint="BF"/>
          <w:sz w:val="20"/>
        </w:rPr>
        <w:tab/>
      </w:r>
      <w:r>
        <w:rPr>
          <w:color w:val="404040" w:themeColor="text1" w:themeTint="BF"/>
          <w:sz w:val="20"/>
        </w:rPr>
        <w:tab/>
      </w:r>
      <w:r>
        <w:rPr>
          <w:color w:val="404040" w:themeColor="text1" w:themeTint="BF"/>
          <w:sz w:val="20"/>
        </w:rPr>
        <w:tab/>
      </w:r>
    </w:p>
    <w:p w14:paraId="5851934A" w14:textId="0EE1F95E" w:rsidR="006675D9" w:rsidRPr="004D28F3" w:rsidRDefault="006675D9" w:rsidP="00832E2E">
      <w:pPr>
        <w:spacing w:line="264" w:lineRule="auto"/>
        <w:rPr>
          <w:rFonts w:cstheme="minorHAnsi"/>
          <w:bCs/>
          <w:color w:val="404040" w:themeColor="text1" w:themeTint="BF"/>
          <w:sz w:val="20"/>
          <w:szCs w:val="20"/>
        </w:rPr>
      </w:pPr>
      <w:r>
        <w:rPr>
          <w:color w:val="404040" w:themeColor="text1" w:themeTint="BF"/>
          <w:sz w:val="20"/>
        </w:rPr>
        <w:t>416</w:t>
      </w:r>
      <w:r w:rsidR="00FC4E3C">
        <w:rPr>
          <w:color w:val="404040" w:themeColor="text1" w:themeTint="BF"/>
          <w:sz w:val="20"/>
        </w:rPr>
        <w:t> </w:t>
      </w:r>
      <w:r>
        <w:rPr>
          <w:color w:val="404040" w:themeColor="text1" w:themeTint="BF"/>
          <w:sz w:val="20"/>
        </w:rPr>
        <w:t xml:space="preserve">847-3292   </w:t>
      </w:r>
      <w:r>
        <w:rPr>
          <w:color w:val="404040" w:themeColor="text1" w:themeTint="BF"/>
          <w:sz w:val="20"/>
        </w:rPr>
        <w:tab/>
      </w:r>
      <w:r>
        <w:rPr>
          <w:color w:val="404040" w:themeColor="text1" w:themeTint="BF"/>
          <w:sz w:val="20"/>
        </w:rPr>
        <w:tab/>
      </w:r>
      <w:r>
        <w:rPr>
          <w:color w:val="404040" w:themeColor="text1" w:themeTint="BF"/>
          <w:sz w:val="20"/>
        </w:rPr>
        <w:tab/>
      </w:r>
      <w:r>
        <w:rPr>
          <w:color w:val="404040" w:themeColor="text1" w:themeTint="BF"/>
          <w:sz w:val="20"/>
        </w:rPr>
        <w:tab/>
      </w:r>
      <w:r>
        <w:rPr>
          <w:color w:val="404040" w:themeColor="text1" w:themeTint="BF"/>
          <w:sz w:val="20"/>
        </w:rPr>
        <w:tab/>
        <w:t>416</w:t>
      </w:r>
      <w:r w:rsidR="00FC4E3C">
        <w:rPr>
          <w:color w:val="404040" w:themeColor="text1" w:themeTint="BF"/>
          <w:sz w:val="20"/>
        </w:rPr>
        <w:t> </w:t>
      </w:r>
      <w:r>
        <w:rPr>
          <w:color w:val="404040" w:themeColor="text1" w:themeTint="BF"/>
          <w:sz w:val="20"/>
        </w:rPr>
        <w:t>868-4417</w:t>
      </w:r>
    </w:p>
    <w:p w14:paraId="7520498D" w14:textId="768F3ADE" w:rsidR="006675D9" w:rsidRPr="0005395B" w:rsidRDefault="008418F1" w:rsidP="00832E2E">
      <w:pPr>
        <w:pStyle w:val="BodyText"/>
        <w:tabs>
          <w:tab w:val="left" w:pos="861"/>
        </w:tabs>
        <w:spacing w:before="0" w:line="264" w:lineRule="auto"/>
        <w:ind w:left="0" w:right="787" w:firstLine="0"/>
        <w:rPr>
          <w:rFonts w:asciiTheme="minorHAnsi" w:hAnsiTheme="minorHAnsi" w:cstheme="minorHAnsi"/>
          <w:sz w:val="20"/>
          <w:szCs w:val="20"/>
        </w:rPr>
      </w:pPr>
      <w:hyperlink r:id="rId12" w:history="1">
        <w:r w:rsidR="003761F0">
          <w:rPr>
            <w:rStyle w:val="Hyperlink"/>
            <w:rFonts w:asciiTheme="minorHAnsi" w:hAnsiTheme="minorHAnsi"/>
            <w:sz w:val="20"/>
          </w:rPr>
          <w:t>rliu@hugessen.com</w:t>
        </w:r>
      </w:hyperlink>
      <w:r w:rsidR="003761F0">
        <w:rPr>
          <w:rFonts w:asciiTheme="minorHAnsi" w:hAnsiTheme="minorHAnsi"/>
          <w:sz w:val="20"/>
        </w:rPr>
        <w:tab/>
      </w:r>
      <w:r w:rsidR="003761F0">
        <w:rPr>
          <w:rFonts w:asciiTheme="minorHAnsi" w:hAnsiTheme="minorHAnsi"/>
          <w:sz w:val="20"/>
        </w:rPr>
        <w:tab/>
      </w:r>
      <w:r w:rsidR="003761F0">
        <w:rPr>
          <w:rFonts w:asciiTheme="minorHAnsi" w:hAnsiTheme="minorHAnsi"/>
          <w:sz w:val="20"/>
        </w:rPr>
        <w:tab/>
      </w:r>
      <w:r w:rsidR="003761F0">
        <w:rPr>
          <w:rFonts w:asciiTheme="minorHAnsi" w:hAnsiTheme="minorHAnsi"/>
          <w:sz w:val="20"/>
        </w:rPr>
        <w:tab/>
      </w:r>
      <w:hyperlink r:id="rId13" w:history="1">
        <w:r w:rsidR="003761F0">
          <w:rPr>
            <w:rStyle w:val="Hyperlink"/>
            <w:rFonts w:asciiTheme="minorHAnsi" w:hAnsiTheme="minorHAnsi"/>
            <w:sz w:val="20"/>
          </w:rPr>
          <w:t>msmall@hugessen.com</w:t>
        </w:r>
      </w:hyperlink>
    </w:p>
    <w:p w14:paraId="515720A2" w14:textId="51DE5AA0" w:rsidR="006675D9" w:rsidRPr="004D28F3" w:rsidRDefault="006675D9" w:rsidP="00832E2E">
      <w:pPr>
        <w:pStyle w:val="BodyText"/>
        <w:tabs>
          <w:tab w:val="left" w:pos="861"/>
        </w:tabs>
        <w:spacing w:before="60" w:line="264" w:lineRule="auto"/>
        <w:ind w:left="0" w:right="787" w:firstLine="0"/>
        <w:rPr>
          <w:rFonts w:asciiTheme="minorHAnsi" w:hAnsiTheme="minorHAnsi" w:cstheme="minorHAnsi"/>
          <w:color w:val="404040" w:themeColor="text1" w:themeTint="BF"/>
          <w:sz w:val="20"/>
          <w:szCs w:val="20"/>
        </w:rPr>
      </w:pPr>
    </w:p>
    <w:p w14:paraId="5D9C88FC" w14:textId="431D470F" w:rsidR="006675D9" w:rsidRPr="004D28F3" w:rsidRDefault="006675D9" w:rsidP="00832E2E">
      <w:pPr>
        <w:spacing w:before="60" w:line="264" w:lineRule="auto"/>
        <w:rPr>
          <w:rFonts w:cstheme="minorHAnsi"/>
          <w:bCs/>
          <w:i/>
          <w:iCs/>
          <w:color w:val="404040" w:themeColor="text1" w:themeTint="BF"/>
          <w:sz w:val="16"/>
          <w:szCs w:val="16"/>
        </w:rPr>
      </w:pPr>
      <w:r>
        <w:rPr>
          <w:i/>
          <w:color w:val="404040" w:themeColor="text1" w:themeTint="BF"/>
          <w:sz w:val="16"/>
        </w:rPr>
        <w:t>Hugessen Consulting est un cabinet de conseil indépendant qui vise à répondre aux besoins des conseils d’administration et de leurs comités de rémunération en matière de rémunération des dirigeants. Disposant de bureaux à Toronto,</w:t>
      </w:r>
      <w:r w:rsidR="008A1C8E">
        <w:rPr>
          <w:i/>
          <w:color w:val="404040" w:themeColor="text1" w:themeTint="BF"/>
          <w:sz w:val="16"/>
        </w:rPr>
        <w:t xml:space="preserve"> Montréal</w:t>
      </w:r>
      <w:r>
        <w:rPr>
          <w:i/>
          <w:color w:val="404040" w:themeColor="text1" w:themeTint="BF"/>
          <w:sz w:val="16"/>
        </w:rPr>
        <w:t xml:space="preserve"> et à Calgary, il a pour mission d’être le principal fournisseur de conseils sur la rémunération des dirigeants, sur la mesure et l’évaluation du rendement ainsi que sur la gouvernance aux comités de rémunération des moyennes et grandes entreprises du Canada et des États-Unis.</w:t>
      </w:r>
    </w:p>
    <w:p w14:paraId="15D799C0" w14:textId="77777777" w:rsidR="002833FA" w:rsidRPr="004D28F3" w:rsidRDefault="002833FA" w:rsidP="00832E2E">
      <w:pPr>
        <w:spacing w:before="60" w:line="264" w:lineRule="auto"/>
        <w:rPr>
          <w:rFonts w:cstheme="minorHAnsi"/>
          <w:bCs/>
          <w:i/>
          <w:iCs/>
          <w:color w:val="404040" w:themeColor="text1" w:themeTint="BF"/>
          <w:sz w:val="16"/>
          <w:szCs w:val="16"/>
        </w:rPr>
      </w:pPr>
    </w:p>
    <w:p w14:paraId="35657D33" w14:textId="320594BF" w:rsidR="002833FA" w:rsidRPr="004D28F3" w:rsidRDefault="006675D9" w:rsidP="00832E2E">
      <w:pPr>
        <w:spacing w:before="60" w:line="264" w:lineRule="auto"/>
        <w:rPr>
          <w:rFonts w:cstheme="minorHAnsi"/>
          <w:bCs/>
          <w:i/>
          <w:iCs/>
          <w:color w:val="404040" w:themeColor="text1" w:themeTint="BF"/>
          <w:sz w:val="16"/>
          <w:szCs w:val="16"/>
        </w:rPr>
      </w:pPr>
      <w:r>
        <w:rPr>
          <w:i/>
          <w:color w:val="404040" w:themeColor="text1" w:themeTint="BF"/>
          <w:sz w:val="16"/>
        </w:rPr>
        <w:t>© 2022 par Hugessen Consulting Inc. Tous droits réservés</w:t>
      </w:r>
    </w:p>
    <w:sectPr w:rsidR="002833FA" w:rsidRPr="004D28F3">
      <w:footerReference w:type="default" r:id="rId14"/>
      <w:pgSz w:w="12240" w:h="15840"/>
      <w:pgMar w:top="1400" w:right="1300" w:bottom="1260" w:left="130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9C34" w14:textId="77777777" w:rsidR="008418F1" w:rsidRDefault="008418F1">
      <w:r>
        <w:separator/>
      </w:r>
    </w:p>
  </w:endnote>
  <w:endnote w:type="continuationSeparator" w:id="0">
    <w:p w14:paraId="7FFD6F6B" w14:textId="77777777" w:rsidR="008418F1" w:rsidRDefault="0084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63797" w14:textId="5D335473" w:rsidR="002526B9" w:rsidRDefault="005B2FF9">
    <w:pPr>
      <w:spacing w:line="14" w:lineRule="auto"/>
      <w:rPr>
        <w:sz w:val="20"/>
        <w:szCs w:val="20"/>
      </w:rPr>
    </w:pPr>
    <w:r>
      <w:rPr>
        <w:noProof/>
      </w:rPr>
      <mc:AlternateContent>
        <mc:Choice Requires="wpg">
          <w:drawing>
            <wp:anchor distT="0" distB="0" distL="114300" distR="114300" simplePos="0" relativeHeight="503310320" behindDoc="1" locked="0" layoutInCell="1" allowOverlap="1" wp14:anchorId="15892226" wp14:editId="38B3A546">
              <wp:simplePos x="0" y="0"/>
              <wp:positionH relativeFrom="page">
                <wp:posOffset>916305</wp:posOffset>
              </wp:positionH>
              <wp:positionV relativeFrom="page">
                <wp:posOffset>9340562</wp:posOffset>
              </wp:positionV>
              <wp:extent cx="5939790" cy="1270"/>
              <wp:effectExtent l="11430" t="9525" r="11430"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1270"/>
                        <a:chOff x="1443" y="14550"/>
                        <a:chExt cx="9354" cy="2"/>
                      </a:xfrm>
                    </wpg:grpSpPr>
                    <wps:wsp>
                      <wps:cNvPr id="3" name="Freeform 3"/>
                      <wps:cNvSpPr>
                        <a:spLocks/>
                      </wps:cNvSpPr>
                      <wps:spPr bwMode="auto">
                        <a:xfrm>
                          <a:off x="1443" y="14550"/>
                          <a:ext cx="9354" cy="2"/>
                        </a:xfrm>
                        <a:custGeom>
                          <a:avLst/>
                          <a:gdLst>
                            <a:gd name="T0" fmla="+- 0 1443 1443"/>
                            <a:gd name="T1" fmla="*/ T0 w 9354"/>
                            <a:gd name="T2" fmla="+- 0 10797 1443"/>
                            <a:gd name="T3" fmla="*/ T2 w 9354"/>
                          </a:gdLst>
                          <a:ahLst/>
                          <a:cxnLst>
                            <a:cxn ang="0">
                              <a:pos x="T1" y="0"/>
                            </a:cxn>
                            <a:cxn ang="0">
                              <a:pos x="T3" y="0"/>
                            </a:cxn>
                          </a:cxnLst>
                          <a:rect l="0" t="0" r="r" b="b"/>
                          <a:pathLst>
                            <a:path w="9354">
                              <a:moveTo>
                                <a:pt x="0" y="0"/>
                              </a:moveTo>
                              <a:lnTo>
                                <a:pt x="9354" y="0"/>
                              </a:lnTo>
                            </a:path>
                          </a:pathLst>
                        </a:custGeom>
                        <a:noFill/>
                        <a:ln w="6350">
                          <a:solidFill>
                            <a:srgbClr val="5F6C6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DDDF4" id="Group 2" o:spid="_x0000_s1026" style="position:absolute;margin-left:72.15pt;margin-top:735.5pt;width:467.7pt;height:.1pt;z-index:-6160;mso-position-horizontal-relative:page;mso-position-vertical-relative:page" coordorigin="1443,14550"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">
              <v:shape id="Freeform 3" o:spid="_x0000_s1027" style="position:absolute;left:1443;top:14550;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" path="m,l9354,e" filled="f" strokecolor="#5f6c69" strokeweight=".5pt">
                <v:path arrowok="t" o:connecttype="custom" o:connectlocs="0,0;9354,0" o:connectangles="0,0"/>
              </v:shape>
              <w10:wrap anchorx="page" anchory="page"/>
            </v:group>
          </w:pict>
        </mc:Fallback>
      </mc:AlternateContent>
    </w:r>
    <w:r>
      <w:rPr>
        <w:noProof/>
      </w:rPr>
      <w:drawing>
        <wp:anchor distT="0" distB="0" distL="114300" distR="114300" simplePos="0" relativeHeight="503310296" behindDoc="1" locked="0" layoutInCell="1" allowOverlap="1" wp14:anchorId="09477611" wp14:editId="7D3FA246">
          <wp:simplePos x="0" y="0"/>
          <wp:positionH relativeFrom="page">
            <wp:posOffset>5796280</wp:posOffset>
          </wp:positionH>
          <wp:positionV relativeFrom="page">
            <wp:posOffset>9334500</wp:posOffset>
          </wp:positionV>
          <wp:extent cx="1057275" cy="3905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503310344" behindDoc="1" locked="0" layoutInCell="1" allowOverlap="1" wp14:anchorId="48EFD994" wp14:editId="7CA5A310">
              <wp:simplePos x="0" y="0"/>
              <wp:positionH relativeFrom="page">
                <wp:posOffset>3826510</wp:posOffset>
              </wp:positionH>
              <wp:positionV relativeFrom="page">
                <wp:posOffset>9452610</wp:posOffset>
              </wp:positionV>
              <wp:extent cx="121920" cy="165735"/>
              <wp:effectExtent l="0" t="3810" r="444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F350B" w14:textId="77777777" w:rsidR="002526B9" w:rsidRDefault="006512C6">
                          <w:pPr>
                            <w:pStyle w:val="BodyText"/>
                            <w:spacing w:before="0" w:line="245" w:lineRule="exact"/>
                            <w:ind w:left="40" w:firstLine="0"/>
                            <w:rPr>
                              <w:rFonts w:ascii="Calibri Light" w:eastAsia="Calibri Light" w:hAnsi="Calibri Light" w:cs="Calibri Light"/>
                            </w:rPr>
                          </w:pPr>
                          <w:r>
                            <w:fldChar w:fldCharType="begin"/>
                          </w:r>
                          <w:r>
                            <w:rPr>
                              <w:rFonts w:ascii="Calibri Light"/>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FD994" id="_x0000_t202" coordsize="21600,21600" o:spt="202" path="m,l,21600r21600,l21600,xe">
              <v:stroke joinstyle="miter"/>
              <v:path gradientshapeok="t" o:connecttype="rect"/>
            </v:shapetype>
            <v:shape id="Text Box 1" o:spid="_x0000_s1027" type="#_x0000_t202" style="position:absolute;margin-left:301.3pt;margin-top:744.3pt;width:9.6pt;height:13.05pt;z-index:-6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" filled="f" stroked="f">
              <v:textbox inset="0,0,0,0">
                <w:txbxContent>
                  <w:p w14:paraId="510F350B" w14:textId="77777777" w:rsidR="002526B9" w:rsidRDefault="006512C6">
                    <w:pPr>
                      <w:pStyle w:val="BodyText"/>
                      <w:spacing w:before="0" w:line="245" w:lineRule="exact"/>
                      <w:ind w:left="40" w:firstLine="0"/>
                      <w:rPr>
                        <w:rFonts w:ascii="Calibri Light" w:eastAsia="Calibri Light" w:hAnsi="Calibri Light" w:cs="Calibri Light"/>
                      </w:rPr>
                    </w:pPr>
                    <w:r>
                      <w:fldChar w:fldCharType="begin"/>
                    </w:r>
                    <w:r>
                      <w:rPr>
                        <w:rFonts w:ascii="Calibri Light"/>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CDEA" w14:textId="77777777" w:rsidR="008418F1" w:rsidRDefault="008418F1">
      <w:r>
        <w:separator/>
      </w:r>
    </w:p>
  </w:footnote>
  <w:footnote w:type="continuationSeparator" w:id="0">
    <w:p w14:paraId="72D4C8CA" w14:textId="77777777" w:rsidR="008418F1" w:rsidRDefault="00841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5E56"/>
    <w:multiLevelType w:val="hybridMultilevel"/>
    <w:tmpl w:val="B0264D2E"/>
    <w:lvl w:ilvl="0" w:tplc="10090005">
      <w:start w:val="1"/>
      <w:numFmt w:val="bullet"/>
      <w:lvlText w:val=""/>
      <w:lvlJc w:val="left"/>
      <w:pPr>
        <w:ind w:left="860" w:hanging="360"/>
      </w:pPr>
      <w:rPr>
        <w:rFonts w:ascii="Wingdings" w:hAnsi="Wingdings" w:hint="default"/>
        <w:sz w:val="22"/>
        <w:szCs w:val="22"/>
      </w:rPr>
    </w:lvl>
    <w:lvl w:ilvl="1" w:tplc="1A42B9C0">
      <w:start w:val="1"/>
      <w:numFmt w:val="bullet"/>
      <w:lvlText w:val="•"/>
      <w:lvlJc w:val="left"/>
      <w:pPr>
        <w:ind w:left="1738" w:hanging="360"/>
      </w:pPr>
      <w:rPr>
        <w:rFonts w:hint="default"/>
      </w:rPr>
    </w:lvl>
    <w:lvl w:ilvl="2" w:tplc="6F5ED218">
      <w:start w:val="1"/>
      <w:numFmt w:val="bullet"/>
      <w:lvlText w:val="•"/>
      <w:lvlJc w:val="left"/>
      <w:pPr>
        <w:ind w:left="2616" w:hanging="360"/>
      </w:pPr>
      <w:rPr>
        <w:rFonts w:hint="default"/>
      </w:rPr>
    </w:lvl>
    <w:lvl w:ilvl="3" w:tplc="A3405872">
      <w:start w:val="1"/>
      <w:numFmt w:val="bullet"/>
      <w:lvlText w:val="•"/>
      <w:lvlJc w:val="left"/>
      <w:pPr>
        <w:ind w:left="3494" w:hanging="360"/>
      </w:pPr>
      <w:rPr>
        <w:rFonts w:hint="default"/>
      </w:rPr>
    </w:lvl>
    <w:lvl w:ilvl="4" w:tplc="A80419CC">
      <w:start w:val="1"/>
      <w:numFmt w:val="bullet"/>
      <w:lvlText w:val="•"/>
      <w:lvlJc w:val="left"/>
      <w:pPr>
        <w:ind w:left="4372" w:hanging="360"/>
      </w:pPr>
      <w:rPr>
        <w:rFonts w:hint="default"/>
      </w:rPr>
    </w:lvl>
    <w:lvl w:ilvl="5" w:tplc="EA2AF50E">
      <w:start w:val="1"/>
      <w:numFmt w:val="bullet"/>
      <w:lvlText w:val="•"/>
      <w:lvlJc w:val="left"/>
      <w:pPr>
        <w:ind w:left="5250" w:hanging="360"/>
      </w:pPr>
      <w:rPr>
        <w:rFonts w:hint="default"/>
      </w:rPr>
    </w:lvl>
    <w:lvl w:ilvl="6" w:tplc="B8204C10">
      <w:start w:val="1"/>
      <w:numFmt w:val="bullet"/>
      <w:lvlText w:val="•"/>
      <w:lvlJc w:val="left"/>
      <w:pPr>
        <w:ind w:left="6128" w:hanging="360"/>
      </w:pPr>
      <w:rPr>
        <w:rFonts w:hint="default"/>
      </w:rPr>
    </w:lvl>
    <w:lvl w:ilvl="7" w:tplc="7CE85C40">
      <w:start w:val="1"/>
      <w:numFmt w:val="bullet"/>
      <w:lvlText w:val="•"/>
      <w:lvlJc w:val="left"/>
      <w:pPr>
        <w:ind w:left="7006" w:hanging="360"/>
      </w:pPr>
      <w:rPr>
        <w:rFonts w:hint="default"/>
      </w:rPr>
    </w:lvl>
    <w:lvl w:ilvl="8" w:tplc="8940EAA4">
      <w:start w:val="1"/>
      <w:numFmt w:val="bullet"/>
      <w:lvlText w:val="•"/>
      <w:lvlJc w:val="left"/>
      <w:pPr>
        <w:ind w:left="7884" w:hanging="360"/>
      </w:pPr>
      <w:rPr>
        <w:rFonts w:hint="default"/>
      </w:rPr>
    </w:lvl>
  </w:abstractNum>
  <w:abstractNum w:abstractNumId="1" w15:restartNumberingAfterBreak="0">
    <w:nsid w:val="0D2451C4"/>
    <w:multiLevelType w:val="hybridMultilevel"/>
    <w:tmpl w:val="18A4A58E"/>
    <w:lvl w:ilvl="0" w:tplc="10090005">
      <w:start w:val="1"/>
      <w:numFmt w:val="bullet"/>
      <w:lvlText w:val=""/>
      <w:lvlJc w:val="left"/>
      <w:pPr>
        <w:ind w:left="860" w:hanging="360"/>
      </w:pPr>
      <w:rPr>
        <w:rFonts w:ascii="Wingdings" w:hAnsi="Wingdings" w:hint="default"/>
      </w:rPr>
    </w:lvl>
    <w:lvl w:ilvl="1" w:tplc="10090003">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2" w15:restartNumberingAfterBreak="0">
    <w:nsid w:val="0DFE75F6"/>
    <w:multiLevelType w:val="hybridMultilevel"/>
    <w:tmpl w:val="0DBEA8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8901D0"/>
    <w:multiLevelType w:val="hybridMultilevel"/>
    <w:tmpl w:val="C7442D9C"/>
    <w:lvl w:ilvl="0" w:tplc="10090005">
      <w:start w:val="1"/>
      <w:numFmt w:val="bullet"/>
      <w:lvlText w:val=""/>
      <w:lvlJc w:val="left"/>
      <w:pPr>
        <w:ind w:left="860" w:hanging="360"/>
      </w:pPr>
      <w:rPr>
        <w:rFonts w:ascii="Wingdings" w:hAnsi="Wingdings" w:hint="default"/>
      </w:rPr>
    </w:lvl>
    <w:lvl w:ilvl="1" w:tplc="10090003">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4" w15:restartNumberingAfterBreak="0">
    <w:nsid w:val="156043D9"/>
    <w:multiLevelType w:val="hybridMultilevel"/>
    <w:tmpl w:val="7376F2C8"/>
    <w:lvl w:ilvl="0" w:tplc="10090005">
      <w:start w:val="1"/>
      <w:numFmt w:val="bullet"/>
      <w:lvlText w:val=""/>
      <w:lvlJc w:val="left"/>
      <w:pPr>
        <w:ind w:left="860" w:hanging="360"/>
      </w:pPr>
      <w:rPr>
        <w:rFonts w:ascii="Wingdings" w:hAnsi="Wingdings" w:hint="default"/>
        <w:sz w:val="22"/>
        <w:szCs w:val="22"/>
      </w:rPr>
    </w:lvl>
    <w:lvl w:ilvl="1" w:tplc="1009000F">
      <w:start w:val="1"/>
      <w:numFmt w:val="decimal"/>
      <w:lvlText w:val="%2."/>
      <w:lvlJc w:val="left"/>
      <w:pPr>
        <w:ind w:left="1738" w:hanging="360"/>
      </w:pPr>
      <w:rPr>
        <w:rFonts w:hint="default"/>
      </w:rPr>
    </w:lvl>
    <w:lvl w:ilvl="2" w:tplc="6F5ED218">
      <w:start w:val="1"/>
      <w:numFmt w:val="bullet"/>
      <w:lvlText w:val="•"/>
      <w:lvlJc w:val="left"/>
      <w:pPr>
        <w:ind w:left="2616" w:hanging="360"/>
      </w:pPr>
      <w:rPr>
        <w:rFonts w:hint="default"/>
      </w:rPr>
    </w:lvl>
    <w:lvl w:ilvl="3" w:tplc="A3405872">
      <w:start w:val="1"/>
      <w:numFmt w:val="bullet"/>
      <w:lvlText w:val="•"/>
      <w:lvlJc w:val="left"/>
      <w:pPr>
        <w:ind w:left="3494" w:hanging="360"/>
      </w:pPr>
      <w:rPr>
        <w:rFonts w:hint="default"/>
      </w:rPr>
    </w:lvl>
    <w:lvl w:ilvl="4" w:tplc="A80419CC">
      <w:start w:val="1"/>
      <w:numFmt w:val="bullet"/>
      <w:lvlText w:val="•"/>
      <w:lvlJc w:val="left"/>
      <w:pPr>
        <w:ind w:left="4372" w:hanging="360"/>
      </w:pPr>
      <w:rPr>
        <w:rFonts w:hint="default"/>
      </w:rPr>
    </w:lvl>
    <w:lvl w:ilvl="5" w:tplc="EA2AF50E">
      <w:start w:val="1"/>
      <w:numFmt w:val="bullet"/>
      <w:lvlText w:val="•"/>
      <w:lvlJc w:val="left"/>
      <w:pPr>
        <w:ind w:left="5250" w:hanging="360"/>
      </w:pPr>
      <w:rPr>
        <w:rFonts w:hint="default"/>
      </w:rPr>
    </w:lvl>
    <w:lvl w:ilvl="6" w:tplc="B8204C10">
      <w:start w:val="1"/>
      <w:numFmt w:val="bullet"/>
      <w:lvlText w:val="•"/>
      <w:lvlJc w:val="left"/>
      <w:pPr>
        <w:ind w:left="6128" w:hanging="360"/>
      </w:pPr>
      <w:rPr>
        <w:rFonts w:hint="default"/>
      </w:rPr>
    </w:lvl>
    <w:lvl w:ilvl="7" w:tplc="7CE85C40">
      <w:start w:val="1"/>
      <w:numFmt w:val="bullet"/>
      <w:lvlText w:val="•"/>
      <w:lvlJc w:val="left"/>
      <w:pPr>
        <w:ind w:left="7006" w:hanging="360"/>
      </w:pPr>
      <w:rPr>
        <w:rFonts w:hint="default"/>
      </w:rPr>
    </w:lvl>
    <w:lvl w:ilvl="8" w:tplc="8940EAA4">
      <w:start w:val="1"/>
      <w:numFmt w:val="bullet"/>
      <w:lvlText w:val="•"/>
      <w:lvlJc w:val="left"/>
      <w:pPr>
        <w:ind w:left="7884" w:hanging="360"/>
      </w:pPr>
      <w:rPr>
        <w:rFonts w:hint="default"/>
      </w:rPr>
    </w:lvl>
  </w:abstractNum>
  <w:abstractNum w:abstractNumId="5" w15:restartNumberingAfterBreak="0">
    <w:nsid w:val="15B27B61"/>
    <w:multiLevelType w:val="hybridMultilevel"/>
    <w:tmpl w:val="2B4C77BE"/>
    <w:lvl w:ilvl="0" w:tplc="19148216">
      <w:start w:val="1"/>
      <w:numFmt w:val="bullet"/>
      <w:lvlText w:val="-"/>
      <w:lvlJc w:val="left"/>
      <w:pPr>
        <w:ind w:left="1800" w:hanging="360"/>
      </w:pPr>
      <w:rPr>
        <w:rFonts w:ascii="Calibri" w:eastAsia="Calibri" w:hAnsi="Calibri" w:hint="default"/>
        <w:sz w:val="22"/>
        <w:szCs w:val="22"/>
      </w:rPr>
    </w:lvl>
    <w:lvl w:ilvl="1" w:tplc="1C2E8C10">
      <w:start w:val="1"/>
      <w:numFmt w:val="bullet"/>
      <w:lvlText w:val="o"/>
      <w:lvlJc w:val="left"/>
      <w:pPr>
        <w:ind w:left="2520" w:hanging="360"/>
      </w:pPr>
      <w:rPr>
        <w:rFonts w:ascii="Courier New" w:eastAsia="Courier New" w:hAnsi="Courier New" w:hint="default"/>
        <w:sz w:val="22"/>
        <w:szCs w:val="22"/>
      </w:rPr>
    </w:lvl>
    <w:lvl w:ilvl="2" w:tplc="BE007A86">
      <w:start w:val="1"/>
      <w:numFmt w:val="bullet"/>
      <w:lvlText w:val="•"/>
      <w:lvlJc w:val="left"/>
      <w:pPr>
        <w:ind w:left="3560" w:hanging="360"/>
      </w:pPr>
      <w:rPr>
        <w:rFonts w:hint="default"/>
      </w:rPr>
    </w:lvl>
    <w:lvl w:ilvl="3" w:tplc="E418F3D4">
      <w:start w:val="1"/>
      <w:numFmt w:val="bullet"/>
      <w:lvlText w:val="•"/>
      <w:lvlJc w:val="left"/>
      <w:pPr>
        <w:ind w:left="4600" w:hanging="360"/>
      </w:pPr>
      <w:rPr>
        <w:rFonts w:hint="default"/>
      </w:rPr>
    </w:lvl>
    <w:lvl w:ilvl="4" w:tplc="A454B1CE">
      <w:start w:val="1"/>
      <w:numFmt w:val="bullet"/>
      <w:lvlText w:val="•"/>
      <w:lvlJc w:val="left"/>
      <w:pPr>
        <w:ind w:left="5640" w:hanging="360"/>
      </w:pPr>
      <w:rPr>
        <w:rFonts w:hint="default"/>
      </w:rPr>
    </w:lvl>
    <w:lvl w:ilvl="5" w:tplc="C5A273BC">
      <w:start w:val="1"/>
      <w:numFmt w:val="bullet"/>
      <w:lvlText w:val="•"/>
      <w:lvlJc w:val="left"/>
      <w:pPr>
        <w:ind w:left="6680" w:hanging="360"/>
      </w:pPr>
      <w:rPr>
        <w:rFonts w:hint="default"/>
      </w:rPr>
    </w:lvl>
    <w:lvl w:ilvl="6" w:tplc="77CC430E">
      <w:start w:val="1"/>
      <w:numFmt w:val="bullet"/>
      <w:lvlText w:val="•"/>
      <w:lvlJc w:val="left"/>
      <w:pPr>
        <w:ind w:left="7720" w:hanging="360"/>
      </w:pPr>
      <w:rPr>
        <w:rFonts w:hint="default"/>
      </w:rPr>
    </w:lvl>
    <w:lvl w:ilvl="7" w:tplc="DB028BDE">
      <w:start w:val="1"/>
      <w:numFmt w:val="bullet"/>
      <w:lvlText w:val="•"/>
      <w:lvlJc w:val="left"/>
      <w:pPr>
        <w:ind w:left="8760" w:hanging="360"/>
      </w:pPr>
      <w:rPr>
        <w:rFonts w:hint="default"/>
      </w:rPr>
    </w:lvl>
    <w:lvl w:ilvl="8" w:tplc="4964F4B2">
      <w:start w:val="1"/>
      <w:numFmt w:val="bullet"/>
      <w:lvlText w:val="•"/>
      <w:lvlJc w:val="left"/>
      <w:pPr>
        <w:ind w:left="9800" w:hanging="360"/>
      </w:pPr>
      <w:rPr>
        <w:rFonts w:hint="default"/>
      </w:rPr>
    </w:lvl>
  </w:abstractNum>
  <w:abstractNum w:abstractNumId="6" w15:restartNumberingAfterBreak="0">
    <w:nsid w:val="253F2097"/>
    <w:multiLevelType w:val="hybridMultilevel"/>
    <w:tmpl w:val="E57696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E187E49"/>
    <w:multiLevelType w:val="hybridMultilevel"/>
    <w:tmpl w:val="0C68536A"/>
    <w:lvl w:ilvl="0" w:tplc="10090005">
      <w:start w:val="1"/>
      <w:numFmt w:val="bullet"/>
      <w:lvlText w:val=""/>
      <w:lvlJc w:val="left"/>
      <w:pPr>
        <w:ind w:left="860" w:hanging="360"/>
      </w:pPr>
      <w:rPr>
        <w:rFonts w:ascii="Wingdings" w:hAnsi="Wingdings" w:hint="default"/>
      </w:rPr>
    </w:lvl>
    <w:lvl w:ilvl="1" w:tplc="10090003">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8" w15:restartNumberingAfterBreak="0">
    <w:nsid w:val="2E9954E9"/>
    <w:multiLevelType w:val="hybridMultilevel"/>
    <w:tmpl w:val="5F0A76DA"/>
    <w:lvl w:ilvl="0" w:tplc="10090005">
      <w:start w:val="1"/>
      <w:numFmt w:val="bullet"/>
      <w:lvlText w:val=""/>
      <w:lvlJc w:val="left"/>
      <w:pPr>
        <w:ind w:left="860" w:hanging="360"/>
      </w:pPr>
      <w:rPr>
        <w:rFonts w:ascii="Wingdings" w:hAnsi="Wingdings" w:hint="default"/>
      </w:rPr>
    </w:lvl>
    <w:lvl w:ilvl="1" w:tplc="10090003">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9" w15:restartNumberingAfterBreak="0">
    <w:nsid w:val="32AC3C31"/>
    <w:multiLevelType w:val="hybridMultilevel"/>
    <w:tmpl w:val="BCEE6B4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1703A5"/>
    <w:multiLevelType w:val="hybridMultilevel"/>
    <w:tmpl w:val="F3C8F6D8"/>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A783B3F"/>
    <w:multiLevelType w:val="hybridMultilevel"/>
    <w:tmpl w:val="9790DF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DD5658"/>
    <w:multiLevelType w:val="hybridMultilevel"/>
    <w:tmpl w:val="67F81A5C"/>
    <w:lvl w:ilvl="0" w:tplc="10090005">
      <w:start w:val="1"/>
      <w:numFmt w:val="bullet"/>
      <w:lvlText w:val=""/>
      <w:lvlJc w:val="left"/>
      <w:pPr>
        <w:ind w:left="860" w:hanging="360"/>
      </w:pPr>
      <w:rPr>
        <w:rFonts w:ascii="Wingdings" w:hAnsi="Wingdings" w:hint="default"/>
      </w:rPr>
    </w:lvl>
    <w:lvl w:ilvl="1" w:tplc="10090003">
      <w:start w:val="1"/>
      <w:numFmt w:val="bullet"/>
      <w:lvlText w:val="o"/>
      <w:lvlJc w:val="left"/>
      <w:pPr>
        <w:ind w:left="1580" w:hanging="360"/>
      </w:pPr>
      <w:rPr>
        <w:rFonts w:ascii="Courier New" w:hAnsi="Courier New" w:cs="Courier New" w:hint="default"/>
      </w:rPr>
    </w:lvl>
    <w:lvl w:ilvl="2" w:tplc="10090005" w:tentative="1">
      <w:start w:val="1"/>
      <w:numFmt w:val="bullet"/>
      <w:lvlText w:val=""/>
      <w:lvlJc w:val="left"/>
      <w:pPr>
        <w:ind w:left="2300" w:hanging="360"/>
      </w:pPr>
      <w:rPr>
        <w:rFonts w:ascii="Wingdings" w:hAnsi="Wingdings" w:hint="default"/>
      </w:rPr>
    </w:lvl>
    <w:lvl w:ilvl="3" w:tplc="10090001" w:tentative="1">
      <w:start w:val="1"/>
      <w:numFmt w:val="bullet"/>
      <w:lvlText w:val=""/>
      <w:lvlJc w:val="left"/>
      <w:pPr>
        <w:ind w:left="3020" w:hanging="360"/>
      </w:pPr>
      <w:rPr>
        <w:rFonts w:ascii="Symbol" w:hAnsi="Symbol" w:hint="default"/>
      </w:rPr>
    </w:lvl>
    <w:lvl w:ilvl="4" w:tplc="10090003" w:tentative="1">
      <w:start w:val="1"/>
      <w:numFmt w:val="bullet"/>
      <w:lvlText w:val="o"/>
      <w:lvlJc w:val="left"/>
      <w:pPr>
        <w:ind w:left="3740" w:hanging="360"/>
      </w:pPr>
      <w:rPr>
        <w:rFonts w:ascii="Courier New" w:hAnsi="Courier New" w:cs="Courier New" w:hint="default"/>
      </w:rPr>
    </w:lvl>
    <w:lvl w:ilvl="5" w:tplc="10090005" w:tentative="1">
      <w:start w:val="1"/>
      <w:numFmt w:val="bullet"/>
      <w:lvlText w:val=""/>
      <w:lvlJc w:val="left"/>
      <w:pPr>
        <w:ind w:left="4460" w:hanging="360"/>
      </w:pPr>
      <w:rPr>
        <w:rFonts w:ascii="Wingdings" w:hAnsi="Wingdings" w:hint="default"/>
      </w:rPr>
    </w:lvl>
    <w:lvl w:ilvl="6" w:tplc="10090001" w:tentative="1">
      <w:start w:val="1"/>
      <w:numFmt w:val="bullet"/>
      <w:lvlText w:val=""/>
      <w:lvlJc w:val="left"/>
      <w:pPr>
        <w:ind w:left="5180" w:hanging="360"/>
      </w:pPr>
      <w:rPr>
        <w:rFonts w:ascii="Symbol" w:hAnsi="Symbol" w:hint="default"/>
      </w:rPr>
    </w:lvl>
    <w:lvl w:ilvl="7" w:tplc="10090003" w:tentative="1">
      <w:start w:val="1"/>
      <w:numFmt w:val="bullet"/>
      <w:lvlText w:val="o"/>
      <w:lvlJc w:val="left"/>
      <w:pPr>
        <w:ind w:left="5900" w:hanging="360"/>
      </w:pPr>
      <w:rPr>
        <w:rFonts w:ascii="Courier New" w:hAnsi="Courier New" w:cs="Courier New" w:hint="default"/>
      </w:rPr>
    </w:lvl>
    <w:lvl w:ilvl="8" w:tplc="10090005" w:tentative="1">
      <w:start w:val="1"/>
      <w:numFmt w:val="bullet"/>
      <w:lvlText w:val=""/>
      <w:lvlJc w:val="left"/>
      <w:pPr>
        <w:ind w:left="6620" w:hanging="360"/>
      </w:pPr>
      <w:rPr>
        <w:rFonts w:ascii="Wingdings" w:hAnsi="Wingdings" w:hint="default"/>
      </w:rPr>
    </w:lvl>
  </w:abstractNum>
  <w:abstractNum w:abstractNumId="13" w15:restartNumberingAfterBreak="0">
    <w:nsid w:val="48966B16"/>
    <w:multiLevelType w:val="hybridMultilevel"/>
    <w:tmpl w:val="099E77D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8D4C17"/>
    <w:multiLevelType w:val="hybridMultilevel"/>
    <w:tmpl w:val="B246AB7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C403E4F"/>
    <w:multiLevelType w:val="hybridMultilevel"/>
    <w:tmpl w:val="4FAA9DD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2245D17"/>
    <w:multiLevelType w:val="hybridMultilevel"/>
    <w:tmpl w:val="62642938"/>
    <w:lvl w:ilvl="0" w:tplc="DDB0648E">
      <w:start w:val="1"/>
      <w:numFmt w:val="bullet"/>
      <w:lvlText w:val="-"/>
      <w:lvlJc w:val="left"/>
      <w:pPr>
        <w:ind w:left="860" w:hanging="360"/>
      </w:pPr>
      <w:rPr>
        <w:rFonts w:ascii="Calibri" w:eastAsia="Calibri" w:hAnsi="Calibri" w:hint="default"/>
        <w:sz w:val="22"/>
        <w:szCs w:val="22"/>
      </w:rPr>
    </w:lvl>
    <w:lvl w:ilvl="1" w:tplc="1A42B9C0">
      <w:start w:val="1"/>
      <w:numFmt w:val="bullet"/>
      <w:lvlText w:val="•"/>
      <w:lvlJc w:val="left"/>
      <w:pPr>
        <w:ind w:left="1738" w:hanging="360"/>
      </w:pPr>
      <w:rPr>
        <w:rFonts w:hint="default"/>
      </w:rPr>
    </w:lvl>
    <w:lvl w:ilvl="2" w:tplc="6F5ED218">
      <w:start w:val="1"/>
      <w:numFmt w:val="bullet"/>
      <w:lvlText w:val="•"/>
      <w:lvlJc w:val="left"/>
      <w:pPr>
        <w:ind w:left="2616" w:hanging="360"/>
      </w:pPr>
      <w:rPr>
        <w:rFonts w:hint="default"/>
      </w:rPr>
    </w:lvl>
    <w:lvl w:ilvl="3" w:tplc="A3405872">
      <w:start w:val="1"/>
      <w:numFmt w:val="bullet"/>
      <w:lvlText w:val="•"/>
      <w:lvlJc w:val="left"/>
      <w:pPr>
        <w:ind w:left="3494" w:hanging="360"/>
      </w:pPr>
      <w:rPr>
        <w:rFonts w:hint="default"/>
      </w:rPr>
    </w:lvl>
    <w:lvl w:ilvl="4" w:tplc="A80419CC">
      <w:start w:val="1"/>
      <w:numFmt w:val="bullet"/>
      <w:lvlText w:val="•"/>
      <w:lvlJc w:val="left"/>
      <w:pPr>
        <w:ind w:left="4372" w:hanging="360"/>
      </w:pPr>
      <w:rPr>
        <w:rFonts w:hint="default"/>
      </w:rPr>
    </w:lvl>
    <w:lvl w:ilvl="5" w:tplc="EA2AF50E">
      <w:start w:val="1"/>
      <w:numFmt w:val="bullet"/>
      <w:lvlText w:val="•"/>
      <w:lvlJc w:val="left"/>
      <w:pPr>
        <w:ind w:left="5250" w:hanging="360"/>
      </w:pPr>
      <w:rPr>
        <w:rFonts w:hint="default"/>
      </w:rPr>
    </w:lvl>
    <w:lvl w:ilvl="6" w:tplc="B8204C10">
      <w:start w:val="1"/>
      <w:numFmt w:val="bullet"/>
      <w:lvlText w:val="•"/>
      <w:lvlJc w:val="left"/>
      <w:pPr>
        <w:ind w:left="6128" w:hanging="360"/>
      </w:pPr>
      <w:rPr>
        <w:rFonts w:hint="default"/>
      </w:rPr>
    </w:lvl>
    <w:lvl w:ilvl="7" w:tplc="7CE85C40">
      <w:start w:val="1"/>
      <w:numFmt w:val="bullet"/>
      <w:lvlText w:val="•"/>
      <w:lvlJc w:val="left"/>
      <w:pPr>
        <w:ind w:left="7006" w:hanging="360"/>
      </w:pPr>
      <w:rPr>
        <w:rFonts w:hint="default"/>
      </w:rPr>
    </w:lvl>
    <w:lvl w:ilvl="8" w:tplc="8940EAA4">
      <w:start w:val="1"/>
      <w:numFmt w:val="bullet"/>
      <w:lvlText w:val="•"/>
      <w:lvlJc w:val="left"/>
      <w:pPr>
        <w:ind w:left="7884" w:hanging="360"/>
      </w:pPr>
      <w:rPr>
        <w:rFonts w:hint="default"/>
      </w:rPr>
    </w:lvl>
  </w:abstractNum>
  <w:abstractNum w:abstractNumId="17" w15:restartNumberingAfterBreak="0">
    <w:nsid w:val="6F3D5168"/>
    <w:multiLevelType w:val="hybridMultilevel"/>
    <w:tmpl w:val="7A9076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6"/>
  </w:num>
  <w:num w:numId="4">
    <w:abstractNumId w:val="4"/>
  </w:num>
  <w:num w:numId="5">
    <w:abstractNumId w:val="1"/>
  </w:num>
  <w:num w:numId="6">
    <w:abstractNumId w:val="7"/>
  </w:num>
  <w:num w:numId="7">
    <w:abstractNumId w:val="8"/>
  </w:num>
  <w:num w:numId="8">
    <w:abstractNumId w:val="3"/>
  </w:num>
  <w:num w:numId="9">
    <w:abstractNumId w:val="12"/>
  </w:num>
  <w:num w:numId="10">
    <w:abstractNumId w:val="0"/>
  </w:num>
  <w:num w:numId="11">
    <w:abstractNumId w:val="15"/>
  </w:num>
  <w:num w:numId="12">
    <w:abstractNumId w:val="14"/>
  </w:num>
  <w:num w:numId="13">
    <w:abstractNumId w:val="9"/>
  </w:num>
  <w:num w:numId="14">
    <w:abstractNumId w:val="10"/>
  </w:num>
  <w:num w:numId="15">
    <w:abstractNumId w:val="17"/>
  </w:num>
  <w:num w:numId="16">
    <w:abstractNumId w:val="13"/>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B9"/>
    <w:rsid w:val="00000185"/>
    <w:rsid w:val="000007DB"/>
    <w:rsid w:val="00000835"/>
    <w:rsid w:val="00002F58"/>
    <w:rsid w:val="000039A9"/>
    <w:rsid w:val="0001103C"/>
    <w:rsid w:val="00015168"/>
    <w:rsid w:val="00016C03"/>
    <w:rsid w:val="000173BC"/>
    <w:rsid w:val="0002301D"/>
    <w:rsid w:val="00023B3D"/>
    <w:rsid w:val="000252DB"/>
    <w:rsid w:val="00036E78"/>
    <w:rsid w:val="0004027B"/>
    <w:rsid w:val="0004395E"/>
    <w:rsid w:val="00043B89"/>
    <w:rsid w:val="00050496"/>
    <w:rsid w:val="00051C9A"/>
    <w:rsid w:val="0005236F"/>
    <w:rsid w:val="0005395B"/>
    <w:rsid w:val="00055263"/>
    <w:rsid w:val="0005759E"/>
    <w:rsid w:val="00062D38"/>
    <w:rsid w:val="00064A98"/>
    <w:rsid w:val="00064BB5"/>
    <w:rsid w:val="00066CD5"/>
    <w:rsid w:val="0007172A"/>
    <w:rsid w:val="000740CE"/>
    <w:rsid w:val="00077533"/>
    <w:rsid w:val="0008622E"/>
    <w:rsid w:val="00086F57"/>
    <w:rsid w:val="00090C6B"/>
    <w:rsid w:val="00092EEA"/>
    <w:rsid w:val="0009692F"/>
    <w:rsid w:val="00097AA9"/>
    <w:rsid w:val="000A154C"/>
    <w:rsid w:val="000A3F1A"/>
    <w:rsid w:val="000A4A96"/>
    <w:rsid w:val="000B0832"/>
    <w:rsid w:val="000B15D2"/>
    <w:rsid w:val="000B3C76"/>
    <w:rsid w:val="000C0B21"/>
    <w:rsid w:val="000C0DE3"/>
    <w:rsid w:val="000C159D"/>
    <w:rsid w:val="000C5B87"/>
    <w:rsid w:val="000D2ECB"/>
    <w:rsid w:val="000E1186"/>
    <w:rsid w:val="000E5D40"/>
    <w:rsid w:val="000E6998"/>
    <w:rsid w:val="000F2004"/>
    <w:rsid w:val="000F20D1"/>
    <w:rsid w:val="000F2791"/>
    <w:rsid w:val="000F3CE9"/>
    <w:rsid w:val="00104A1F"/>
    <w:rsid w:val="00107A28"/>
    <w:rsid w:val="00112C1F"/>
    <w:rsid w:val="00113173"/>
    <w:rsid w:val="00114E73"/>
    <w:rsid w:val="00115ECC"/>
    <w:rsid w:val="00125ECA"/>
    <w:rsid w:val="0013055E"/>
    <w:rsid w:val="001305C5"/>
    <w:rsid w:val="00134970"/>
    <w:rsid w:val="00140A8B"/>
    <w:rsid w:val="00142DBB"/>
    <w:rsid w:val="00142E99"/>
    <w:rsid w:val="001430A2"/>
    <w:rsid w:val="00145033"/>
    <w:rsid w:val="00147490"/>
    <w:rsid w:val="0015337A"/>
    <w:rsid w:val="0015631E"/>
    <w:rsid w:val="00162761"/>
    <w:rsid w:val="00170708"/>
    <w:rsid w:val="001707E3"/>
    <w:rsid w:val="001709A0"/>
    <w:rsid w:val="001711A6"/>
    <w:rsid w:val="00171F87"/>
    <w:rsid w:val="00172AB1"/>
    <w:rsid w:val="00177E7E"/>
    <w:rsid w:val="0018515A"/>
    <w:rsid w:val="0018593F"/>
    <w:rsid w:val="00192AB0"/>
    <w:rsid w:val="00197515"/>
    <w:rsid w:val="001A2CE6"/>
    <w:rsid w:val="001A4B32"/>
    <w:rsid w:val="001A62D1"/>
    <w:rsid w:val="001A7694"/>
    <w:rsid w:val="001B0F0F"/>
    <w:rsid w:val="001B2031"/>
    <w:rsid w:val="001B5838"/>
    <w:rsid w:val="001C5237"/>
    <w:rsid w:val="001D0232"/>
    <w:rsid w:val="001D079B"/>
    <w:rsid w:val="001D50CD"/>
    <w:rsid w:val="001D5482"/>
    <w:rsid w:val="001D796E"/>
    <w:rsid w:val="001E0E7D"/>
    <w:rsid w:val="001E23D8"/>
    <w:rsid w:val="001E3A48"/>
    <w:rsid w:val="001E64D7"/>
    <w:rsid w:val="00200A76"/>
    <w:rsid w:val="00203624"/>
    <w:rsid w:val="00203B7E"/>
    <w:rsid w:val="002079AA"/>
    <w:rsid w:val="00211998"/>
    <w:rsid w:val="0021274E"/>
    <w:rsid w:val="00212836"/>
    <w:rsid w:val="00213C9C"/>
    <w:rsid w:val="00215426"/>
    <w:rsid w:val="00220363"/>
    <w:rsid w:val="00224BC0"/>
    <w:rsid w:val="0022775D"/>
    <w:rsid w:val="00227E9A"/>
    <w:rsid w:val="00235B99"/>
    <w:rsid w:val="00237DE2"/>
    <w:rsid w:val="00241350"/>
    <w:rsid w:val="0024454C"/>
    <w:rsid w:val="0024700C"/>
    <w:rsid w:val="00247708"/>
    <w:rsid w:val="00251082"/>
    <w:rsid w:val="00251C32"/>
    <w:rsid w:val="002526B9"/>
    <w:rsid w:val="0025312F"/>
    <w:rsid w:val="00255BDD"/>
    <w:rsid w:val="0025760E"/>
    <w:rsid w:val="002627C4"/>
    <w:rsid w:val="00265298"/>
    <w:rsid w:val="002752E7"/>
    <w:rsid w:val="00275864"/>
    <w:rsid w:val="0027623B"/>
    <w:rsid w:val="002833FA"/>
    <w:rsid w:val="0028373C"/>
    <w:rsid w:val="002846C0"/>
    <w:rsid w:val="002878F2"/>
    <w:rsid w:val="00287D97"/>
    <w:rsid w:val="002A1850"/>
    <w:rsid w:val="002A2992"/>
    <w:rsid w:val="002A312D"/>
    <w:rsid w:val="002A5456"/>
    <w:rsid w:val="002A7692"/>
    <w:rsid w:val="002B2C7D"/>
    <w:rsid w:val="002B3F34"/>
    <w:rsid w:val="002B6DA0"/>
    <w:rsid w:val="002B7053"/>
    <w:rsid w:val="002B72E0"/>
    <w:rsid w:val="002C6713"/>
    <w:rsid w:val="002D0917"/>
    <w:rsid w:val="002D3BF8"/>
    <w:rsid w:val="002D7400"/>
    <w:rsid w:val="002E2140"/>
    <w:rsid w:val="002E74D0"/>
    <w:rsid w:val="002F1E79"/>
    <w:rsid w:val="002F5760"/>
    <w:rsid w:val="002F6CC9"/>
    <w:rsid w:val="00304AA5"/>
    <w:rsid w:val="00322958"/>
    <w:rsid w:val="00323FB2"/>
    <w:rsid w:val="003325AC"/>
    <w:rsid w:val="0034425D"/>
    <w:rsid w:val="00347962"/>
    <w:rsid w:val="00351DFE"/>
    <w:rsid w:val="003540E3"/>
    <w:rsid w:val="0035451A"/>
    <w:rsid w:val="00356C3A"/>
    <w:rsid w:val="00356D12"/>
    <w:rsid w:val="00363A6E"/>
    <w:rsid w:val="0036779A"/>
    <w:rsid w:val="00367C83"/>
    <w:rsid w:val="0037181F"/>
    <w:rsid w:val="00374A04"/>
    <w:rsid w:val="003761F0"/>
    <w:rsid w:val="00377F30"/>
    <w:rsid w:val="00382A1A"/>
    <w:rsid w:val="00386942"/>
    <w:rsid w:val="00390620"/>
    <w:rsid w:val="00393D7A"/>
    <w:rsid w:val="00394A10"/>
    <w:rsid w:val="003A19F2"/>
    <w:rsid w:val="003B1A20"/>
    <w:rsid w:val="003C3C27"/>
    <w:rsid w:val="003D19D3"/>
    <w:rsid w:val="003D4B68"/>
    <w:rsid w:val="003E1E8C"/>
    <w:rsid w:val="003E388B"/>
    <w:rsid w:val="003E4DCE"/>
    <w:rsid w:val="003E4F7B"/>
    <w:rsid w:val="003F0F7C"/>
    <w:rsid w:val="003F3873"/>
    <w:rsid w:val="003F478C"/>
    <w:rsid w:val="003F5381"/>
    <w:rsid w:val="003F5F40"/>
    <w:rsid w:val="00405BA9"/>
    <w:rsid w:val="004079D8"/>
    <w:rsid w:val="0041012F"/>
    <w:rsid w:val="00413217"/>
    <w:rsid w:val="0041661C"/>
    <w:rsid w:val="00416B84"/>
    <w:rsid w:val="0041779D"/>
    <w:rsid w:val="00417D3F"/>
    <w:rsid w:val="00420FBE"/>
    <w:rsid w:val="00431638"/>
    <w:rsid w:val="00433D53"/>
    <w:rsid w:val="004370C3"/>
    <w:rsid w:val="00440C25"/>
    <w:rsid w:val="00442862"/>
    <w:rsid w:val="004508E7"/>
    <w:rsid w:val="0045118D"/>
    <w:rsid w:val="00452B45"/>
    <w:rsid w:val="00457459"/>
    <w:rsid w:val="00460A93"/>
    <w:rsid w:val="00462DD4"/>
    <w:rsid w:val="004652D3"/>
    <w:rsid w:val="00470D76"/>
    <w:rsid w:val="00470E3D"/>
    <w:rsid w:val="004750F9"/>
    <w:rsid w:val="00476305"/>
    <w:rsid w:val="00476FF7"/>
    <w:rsid w:val="004816E7"/>
    <w:rsid w:val="00485163"/>
    <w:rsid w:val="00485397"/>
    <w:rsid w:val="004866A7"/>
    <w:rsid w:val="00487904"/>
    <w:rsid w:val="004919FF"/>
    <w:rsid w:val="00491D12"/>
    <w:rsid w:val="00492895"/>
    <w:rsid w:val="00493FBB"/>
    <w:rsid w:val="004940F4"/>
    <w:rsid w:val="004943DA"/>
    <w:rsid w:val="0049690C"/>
    <w:rsid w:val="004A040A"/>
    <w:rsid w:val="004A1836"/>
    <w:rsid w:val="004A2893"/>
    <w:rsid w:val="004B027C"/>
    <w:rsid w:val="004B3283"/>
    <w:rsid w:val="004C112D"/>
    <w:rsid w:val="004C7DAE"/>
    <w:rsid w:val="004D0CF6"/>
    <w:rsid w:val="004D1107"/>
    <w:rsid w:val="004D185C"/>
    <w:rsid w:val="004D18D9"/>
    <w:rsid w:val="004D28F3"/>
    <w:rsid w:val="004D3929"/>
    <w:rsid w:val="004E39CF"/>
    <w:rsid w:val="004E3F4E"/>
    <w:rsid w:val="004E672C"/>
    <w:rsid w:val="004E7C86"/>
    <w:rsid w:val="004F2C0F"/>
    <w:rsid w:val="004F6551"/>
    <w:rsid w:val="004F6BF1"/>
    <w:rsid w:val="004F7743"/>
    <w:rsid w:val="004F7B6F"/>
    <w:rsid w:val="00511495"/>
    <w:rsid w:val="00513E7E"/>
    <w:rsid w:val="0051489F"/>
    <w:rsid w:val="00514A9A"/>
    <w:rsid w:val="00515CCC"/>
    <w:rsid w:val="00517392"/>
    <w:rsid w:val="0052392C"/>
    <w:rsid w:val="005241E4"/>
    <w:rsid w:val="005279D7"/>
    <w:rsid w:val="00533552"/>
    <w:rsid w:val="005338A2"/>
    <w:rsid w:val="005362B1"/>
    <w:rsid w:val="00536570"/>
    <w:rsid w:val="0054084C"/>
    <w:rsid w:val="0054508F"/>
    <w:rsid w:val="005474D9"/>
    <w:rsid w:val="005601BF"/>
    <w:rsid w:val="0056041F"/>
    <w:rsid w:val="00563BD4"/>
    <w:rsid w:val="005647FF"/>
    <w:rsid w:val="005709C3"/>
    <w:rsid w:val="00580CBA"/>
    <w:rsid w:val="0058131F"/>
    <w:rsid w:val="00582FBB"/>
    <w:rsid w:val="00583E5C"/>
    <w:rsid w:val="0059316C"/>
    <w:rsid w:val="0059660D"/>
    <w:rsid w:val="005A2F0A"/>
    <w:rsid w:val="005B0E40"/>
    <w:rsid w:val="005B2FF9"/>
    <w:rsid w:val="005B4969"/>
    <w:rsid w:val="005B5D06"/>
    <w:rsid w:val="005B718C"/>
    <w:rsid w:val="005C212F"/>
    <w:rsid w:val="005C39DA"/>
    <w:rsid w:val="005C3C69"/>
    <w:rsid w:val="005C4246"/>
    <w:rsid w:val="005C5F3A"/>
    <w:rsid w:val="005D0E09"/>
    <w:rsid w:val="005D0F62"/>
    <w:rsid w:val="005D3028"/>
    <w:rsid w:val="005D3F58"/>
    <w:rsid w:val="005D447E"/>
    <w:rsid w:val="005D7199"/>
    <w:rsid w:val="005E1461"/>
    <w:rsid w:val="005E20C7"/>
    <w:rsid w:val="005E4FD8"/>
    <w:rsid w:val="005F15B8"/>
    <w:rsid w:val="005F2D2D"/>
    <w:rsid w:val="00603848"/>
    <w:rsid w:val="00603E0D"/>
    <w:rsid w:val="00613A31"/>
    <w:rsid w:val="006207F5"/>
    <w:rsid w:val="00623DA9"/>
    <w:rsid w:val="0064063F"/>
    <w:rsid w:val="00641947"/>
    <w:rsid w:val="00642C50"/>
    <w:rsid w:val="00644E3C"/>
    <w:rsid w:val="00647A83"/>
    <w:rsid w:val="006512C6"/>
    <w:rsid w:val="00654530"/>
    <w:rsid w:val="006571E2"/>
    <w:rsid w:val="006675D9"/>
    <w:rsid w:val="00667981"/>
    <w:rsid w:val="006702D9"/>
    <w:rsid w:val="00673CE7"/>
    <w:rsid w:val="00684BBA"/>
    <w:rsid w:val="00684CA5"/>
    <w:rsid w:val="00687C0A"/>
    <w:rsid w:val="00690DEF"/>
    <w:rsid w:val="006959FF"/>
    <w:rsid w:val="00696CCE"/>
    <w:rsid w:val="006A529E"/>
    <w:rsid w:val="006B02C9"/>
    <w:rsid w:val="006B24A1"/>
    <w:rsid w:val="006B33C3"/>
    <w:rsid w:val="006E20B6"/>
    <w:rsid w:val="006E7C22"/>
    <w:rsid w:val="006E7CC1"/>
    <w:rsid w:val="006F324C"/>
    <w:rsid w:val="006F564F"/>
    <w:rsid w:val="006F7211"/>
    <w:rsid w:val="007233E2"/>
    <w:rsid w:val="00723F02"/>
    <w:rsid w:val="00725603"/>
    <w:rsid w:val="00725919"/>
    <w:rsid w:val="007272C5"/>
    <w:rsid w:val="00732BCE"/>
    <w:rsid w:val="007358BA"/>
    <w:rsid w:val="00735B51"/>
    <w:rsid w:val="00736787"/>
    <w:rsid w:val="0073748D"/>
    <w:rsid w:val="00740826"/>
    <w:rsid w:val="00744B6C"/>
    <w:rsid w:val="007450FC"/>
    <w:rsid w:val="0074551E"/>
    <w:rsid w:val="00745DFB"/>
    <w:rsid w:val="007504B5"/>
    <w:rsid w:val="00751585"/>
    <w:rsid w:val="00751C70"/>
    <w:rsid w:val="00753D70"/>
    <w:rsid w:val="00757587"/>
    <w:rsid w:val="007627DE"/>
    <w:rsid w:val="007644A3"/>
    <w:rsid w:val="007656C4"/>
    <w:rsid w:val="00772709"/>
    <w:rsid w:val="00774440"/>
    <w:rsid w:val="00781F89"/>
    <w:rsid w:val="0078433D"/>
    <w:rsid w:val="00796A6D"/>
    <w:rsid w:val="007A118C"/>
    <w:rsid w:val="007A3F7A"/>
    <w:rsid w:val="007B29B5"/>
    <w:rsid w:val="007C0BA0"/>
    <w:rsid w:val="007D1AF2"/>
    <w:rsid w:val="007D1FA5"/>
    <w:rsid w:val="007D3E27"/>
    <w:rsid w:val="007D596A"/>
    <w:rsid w:val="007D645D"/>
    <w:rsid w:val="007E53D0"/>
    <w:rsid w:val="007E79F7"/>
    <w:rsid w:val="007E7D9D"/>
    <w:rsid w:val="007F1E46"/>
    <w:rsid w:val="007F6AD6"/>
    <w:rsid w:val="008028EF"/>
    <w:rsid w:val="00802DA1"/>
    <w:rsid w:val="00804400"/>
    <w:rsid w:val="00804CA2"/>
    <w:rsid w:val="008062AF"/>
    <w:rsid w:val="00810A15"/>
    <w:rsid w:val="00813334"/>
    <w:rsid w:val="00813B0B"/>
    <w:rsid w:val="00826467"/>
    <w:rsid w:val="00826740"/>
    <w:rsid w:val="00830E4B"/>
    <w:rsid w:val="00832E2E"/>
    <w:rsid w:val="0083335B"/>
    <w:rsid w:val="008418F1"/>
    <w:rsid w:val="0084269A"/>
    <w:rsid w:val="00843555"/>
    <w:rsid w:val="00843ADD"/>
    <w:rsid w:val="0084664D"/>
    <w:rsid w:val="008476A7"/>
    <w:rsid w:val="008506D6"/>
    <w:rsid w:val="00852224"/>
    <w:rsid w:val="008559BD"/>
    <w:rsid w:val="00864E86"/>
    <w:rsid w:val="0086622F"/>
    <w:rsid w:val="008840FF"/>
    <w:rsid w:val="0089120C"/>
    <w:rsid w:val="00893148"/>
    <w:rsid w:val="00897638"/>
    <w:rsid w:val="008A1C8E"/>
    <w:rsid w:val="008B0D36"/>
    <w:rsid w:val="008B0EB9"/>
    <w:rsid w:val="008C1D15"/>
    <w:rsid w:val="008C48BA"/>
    <w:rsid w:val="008D2CC2"/>
    <w:rsid w:val="008D5CC3"/>
    <w:rsid w:val="008E2FA8"/>
    <w:rsid w:val="008E4CCA"/>
    <w:rsid w:val="008E6B28"/>
    <w:rsid w:val="008F1F3D"/>
    <w:rsid w:val="008F3CC5"/>
    <w:rsid w:val="008F6765"/>
    <w:rsid w:val="008F685F"/>
    <w:rsid w:val="008F7364"/>
    <w:rsid w:val="00904891"/>
    <w:rsid w:val="0090595D"/>
    <w:rsid w:val="009073A3"/>
    <w:rsid w:val="00910B2C"/>
    <w:rsid w:val="009115A1"/>
    <w:rsid w:val="009143AA"/>
    <w:rsid w:val="00920D8C"/>
    <w:rsid w:val="009219EA"/>
    <w:rsid w:val="00923E79"/>
    <w:rsid w:val="00931D00"/>
    <w:rsid w:val="00932CBA"/>
    <w:rsid w:val="00943422"/>
    <w:rsid w:val="00945A68"/>
    <w:rsid w:val="00945AF2"/>
    <w:rsid w:val="00951E04"/>
    <w:rsid w:val="009525C2"/>
    <w:rsid w:val="009534FD"/>
    <w:rsid w:val="009540F7"/>
    <w:rsid w:val="0095546F"/>
    <w:rsid w:val="00955BE8"/>
    <w:rsid w:val="00957032"/>
    <w:rsid w:val="00960031"/>
    <w:rsid w:val="00960E6E"/>
    <w:rsid w:val="0096711F"/>
    <w:rsid w:val="009675A7"/>
    <w:rsid w:val="009730E5"/>
    <w:rsid w:val="00973D99"/>
    <w:rsid w:val="009811D1"/>
    <w:rsid w:val="0098166C"/>
    <w:rsid w:val="0098185B"/>
    <w:rsid w:val="009923D8"/>
    <w:rsid w:val="00995FEE"/>
    <w:rsid w:val="009A1467"/>
    <w:rsid w:val="009A3083"/>
    <w:rsid w:val="009A3433"/>
    <w:rsid w:val="009A4460"/>
    <w:rsid w:val="009A4FD5"/>
    <w:rsid w:val="009A6BCA"/>
    <w:rsid w:val="009B6E61"/>
    <w:rsid w:val="009B75BF"/>
    <w:rsid w:val="009C1E03"/>
    <w:rsid w:val="009D0148"/>
    <w:rsid w:val="009D3A56"/>
    <w:rsid w:val="009D761B"/>
    <w:rsid w:val="009E0B51"/>
    <w:rsid w:val="009E279C"/>
    <w:rsid w:val="009E30B9"/>
    <w:rsid w:val="009F1AF9"/>
    <w:rsid w:val="009F25ED"/>
    <w:rsid w:val="00A04E6D"/>
    <w:rsid w:val="00A07F4E"/>
    <w:rsid w:val="00A10901"/>
    <w:rsid w:val="00A12E9E"/>
    <w:rsid w:val="00A12F07"/>
    <w:rsid w:val="00A1320E"/>
    <w:rsid w:val="00A17A33"/>
    <w:rsid w:val="00A200D0"/>
    <w:rsid w:val="00A237B1"/>
    <w:rsid w:val="00A2588F"/>
    <w:rsid w:val="00A267C6"/>
    <w:rsid w:val="00A32813"/>
    <w:rsid w:val="00A375E9"/>
    <w:rsid w:val="00A414FA"/>
    <w:rsid w:val="00A450DB"/>
    <w:rsid w:val="00A467CA"/>
    <w:rsid w:val="00A46A71"/>
    <w:rsid w:val="00A50B0E"/>
    <w:rsid w:val="00A5636D"/>
    <w:rsid w:val="00A5687D"/>
    <w:rsid w:val="00A60CDA"/>
    <w:rsid w:val="00A660DF"/>
    <w:rsid w:val="00A671AD"/>
    <w:rsid w:val="00A67993"/>
    <w:rsid w:val="00A71481"/>
    <w:rsid w:val="00A72665"/>
    <w:rsid w:val="00A74829"/>
    <w:rsid w:val="00A75456"/>
    <w:rsid w:val="00A76F3E"/>
    <w:rsid w:val="00A810E7"/>
    <w:rsid w:val="00A865A0"/>
    <w:rsid w:val="00A960A9"/>
    <w:rsid w:val="00A96443"/>
    <w:rsid w:val="00A96444"/>
    <w:rsid w:val="00AA6F23"/>
    <w:rsid w:val="00AA75A7"/>
    <w:rsid w:val="00AC0396"/>
    <w:rsid w:val="00AC43ED"/>
    <w:rsid w:val="00AD102F"/>
    <w:rsid w:val="00AD288D"/>
    <w:rsid w:val="00AD2D61"/>
    <w:rsid w:val="00AD5A94"/>
    <w:rsid w:val="00AD6095"/>
    <w:rsid w:val="00AD7115"/>
    <w:rsid w:val="00AE1ABF"/>
    <w:rsid w:val="00AE3CBB"/>
    <w:rsid w:val="00AE4EC3"/>
    <w:rsid w:val="00AF1D45"/>
    <w:rsid w:val="00AF6EE7"/>
    <w:rsid w:val="00AF7941"/>
    <w:rsid w:val="00B00CC9"/>
    <w:rsid w:val="00B01B0E"/>
    <w:rsid w:val="00B11B3F"/>
    <w:rsid w:val="00B14D74"/>
    <w:rsid w:val="00B161F5"/>
    <w:rsid w:val="00B1719E"/>
    <w:rsid w:val="00B17ECD"/>
    <w:rsid w:val="00B20CE3"/>
    <w:rsid w:val="00B27390"/>
    <w:rsid w:val="00B33837"/>
    <w:rsid w:val="00B35737"/>
    <w:rsid w:val="00B35FAE"/>
    <w:rsid w:val="00B373BF"/>
    <w:rsid w:val="00B40EB1"/>
    <w:rsid w:val="00B410AF"/>
    <w:rsid w:val="00B41DB9"/>
    <w:rsid w:val="00B42858"/>
    <w:rsid w:val="00B50724"/>
    <w:rsid w:val="00B56B5B"/>
    <w:rsid w:val="00B71DAC"/>
    <w:rsid w:val="00B725E5"/>
    <w:rsid w:val="00B763E1"/>
    <w:rsid w:val="00B8054A"/>
    <w:rsid w:val="00B83F6A"/>
    <w:rsid w:val="00B84849"/>
    <w:rsid w:val="00B87B04"/>
    <w:rsid w:val="00B90046"/>
    <w:rsid w:val="00B91299"/>
    <w:rsid w:val="00B93548"/>
    <w:rsid w:val="00B96043"/>
    <w:rsid w:val="00B97295"/>
    <w:rsid w:val="00BA56B9"/>
    <w:rsid w:val="00BB1683"/>
    <w:rsid w:val="00BB2ADC"/>
    <w:rsid w:val="00BB3434"/>
    <w:rsid w:val="00BC3252"/>
    <w:rsid w:val="00BD5845"/>
    <w:rsid w:val="00BD630A"/>
    <w:rsid w:val="00BE026F"/>
    <w:rsid w:val="00BE3F7A"/>
    <w:rsid w:val="00BF57B0"/>
    <w:rsid w:val="00BF6375"/>
    <w:rsid w:val="00C04621"/>
    <w:rsid w:val="00C11E3D"/>
    <w:rsid w:val="00C14E25"/>
    <w:rsid w:val="00C14F16"/>
    <w:rsid w:val="00C2001C"/>
    <w:rsid w:val="00C2141C"/>
    <w:rsid w:val="00C229CC"/>
    <w:rsid w:val="00C33744"/>
    <w:rsid w:val="00C42024"/>
    <w:rsid w:val="00C453BA"/>
    <w:rsid w:val="00C52868"/>
    <w:rsid w:val="00C5703E"/>
    <w:rsid w:val="00C640A9"/>
    <w:rsid w:val="00C67EA3"/>
    <w:rsid w:val="00C701CD"/>
    <w:rsid w:val="00C71DB8"/>
    <w:rsid w:val="00C772A7"/>
    <w:rsid w:val="00C87211"/>
    <w:rsid w:val="00C90E0B"/>
    <w:rsid w:val="00C93346"/>
    <w:rsid w:val="00C93E09"/>
    <w:rsid w:val="00CA24FF"/>
    <w:rsid w:val="00CA6C1A"/>
    <w:rsid w:val="00CA7277"/>
    <w:rsid w:val="00CB2644"/>
    <w:rsid w:val="00CB7DC0"/>
    <w:rsid w:val="00CC354C"/>
    <w:rsid w:val="00CC780F"/>
    <w:rsid w:val="00CD161F"/>
    <w:rsid w:val="00CE2075"/>
    <w:rsid w:val="00CF0664"/>
    <w:rsid w:val="00CF2C82"/>
    <w:rsid w:val="00CF7754"/>
    <w:rsid w:val="00D0140B"/>
    <w:rsid w:val="00D032A0"/>
    <w:rsid w:val="00D053B7"/>
    <w:rsid w:val="00D15271"/>
    <w:rsid w:val="00D17B93"/>
    <w:rsid w:val="00D21421"/>
    <w:rsid w:val="00D21D0B"/>
    <w:rsid w:val="00D30272"/>
    <w:rsid w:val="00D467E1"/>
    <w:rsid w:val="00D5039B"/>
    <w:rsid w:val="00D556D6"/>
    <w:rsid w:val="00D61573"/>
    <w:rsid w:val="00D63C2C"/>
    <w:rsid w:val="00D652E6"/>
    <w:rsid w:val="00D65E1C"/>
    <w:rsid w:val="00D674D4"/>
    <w:rsid w:val="00D71284"/>
    <w:rsid w:val="00D7415D"/>
    <w:rsid w:val="00D8000D"/>
    <w:rsid w:val="00D8409B"/>
    <w:rsid w:val="00D86C46"/>
    <w:rsid w:val="00D9219A"/>
    <w:rsid w:val="00D93FE5"/>
    <w:rsid w:val="00D96448"/>
    <w:rsid w:val="00D97917"/>
    <w:rsid w:val="00DA448B"/>
    <w:rsid w:val="00DA4C6C"/>
    <w:rsid w:val="00DB1066"/>
    <w:rsid w:val="00DB6323"/>
    <w:rsid w:val="00DB727E"/>
    <w:rsid w:val="00DC269D"/>
    <w:rsid w:val="00DC2E3D"/>
    <w:rsid w:val="00DC3AD0"/>
    <w:rsid w:val="00DD01EC"/>
    <w:rsid w:val="00DD2D05"/>
    <w:rsid w:val="00DE0F47"/>
    <w:rsid w:val="00DE2334"/>
    <w:rsid w:val="00DE4BCA"/>
    <w:rsid w:val="00DE5822"/>
    <w:rsid w:val="00DE5F06"/>
    <w:rsid w:val="00DF0F23"/>
    <w:rsid w:val="00DF3867"/>
    <w:rsid w:val="00DF5B94"/>
    <w:rsid w:val="00E011BF"/>
    <w:rsid w:val="00E03BF7"/>
    <w:rsid w:val="00E137ED"/>
    <w:rsid w:val="00E225C2"/>
    <w:rsid w:val="00E25E6F"/>
    <w:rsid w:val="00E2699D"/>
    <w:rsid w:val="00E30348"/>
    <w:rsid w:val="00E30380"/>
    <w:rsid w:val="00E30A6B"/>
    <w:rsid w:val="00E31E35"/>
    <w:rsid w:val="00E3574B"/>
    <w:rsid w:val="00E43152"/>
    <w:rsid w:val="00E47653"/>
    <w:rsid w:val="00E476B1"/>
    <w:rsid w:val="00E47A03"/>
    <w:rsid w:val="00E51652"/>
    <w:rsid w:val="00E54B3F"/>
    <w:rsid w:val="00E54F62"/>
    <w:rsid w:val="00E61612"/>
    <w:rsid w:val="00E620FD"/>
    <w:rsid w:val="00E6262C"/>
    <w:rsid w:val="00E66D5B"/>
    <w:rsid w:val="00E73CE9"/>
    <w:rsid w:val="00E75FE9"/>
    <w:rsid w:val="00E77C22"/>
    <w:rsid w:val="00E80BEC"/>
    <w:rsid w:val="00E86AE1"/>
    <w:rsid w:val="00E87EA4"/>
    <w:rsid w:val="00E925DD"/>
    <w:rsid w:val="00E95A2C"/>
    <w:rsid w:val="00E9655B"/>
    <w:rsid w:val="00EA6373"/>
    <w:rsid w:val="00EA6ECC"/>
    <w:rsid w:val="00ED2408"/>
    <w:rsid w:val="00EE5DB9"/>
    <w:rsid w:val="00EF2500"/>
    <w:rsid w:val="00EF7952"/>
    <w:rsid w:val="00F00BF5"/>
    <w:rsid w:val="00F05D14"/>
    <w:rsid w:val="00F13910"/>
    <w:rsid w:val="00F13AF5"/>
    <w:rsid w:val="00F16329"/>
    <w:rsid w:val="00F22975"/>
    <w:rsid w:val="00F23188"/>
    <w:rsid w:val="00F271DA"/>
    <w:rsid w:val="00F314F9"/>
    <w:rsid w:val="00F32217"/>
    <w:rsid w:val="00F32367"/>
    <w:rsid w:val="00F36EE7"/>
    <w:rsid w:val="00F51A17"/>
    <w:rsid w:val="00F52BA6"/>
    <w:rsid w:val="00F63A5B"/>
    <w:rsid w:val="00F67F57"/>
    <w:rsid w:val="00F716FD"/>
    <w:rsid w:val="00F73B23"/>
    <w:rsid w:val="00F74C09"/>
    <w:rsid w:val="00F75367"/>
    <w:rsid w:val="00F81339"/>
    <w:rsid w:val="00F82061"/>
    <w:rsid w:val="00F8270F"/>
    <w:rsid w:val="00F85744"/>
    <w:rsid w:val="00F957DD"/>
    <w:rsid w:val="00FA004C"/>
    <w:rsid w:val="00FA170C"/>
    <w:rsid w:val="00FA459A"/>
    <w:rsid w:val="00FA7581"/>
    <w:rsid w:val="00FB1586"/>
    <w:rsid w:val="00FB5A95"/>
    <w:rsid w:val="00FC0726"/>
    <w:rsid w:val="00FC4E3C"/>
    <w:rsid w:val="00FD0C2F"/>
    <w:rsid w:val="00FE16D5"/>
    <w:rsid w:val="00FE4D84"/>
    <w:rsid w:val="00FF0CF1"/>
    <w:rsid w:val="00FF1F6E"/>
    <w:rsid w:val="00FF25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291CB"/>
  <w15:docId w15:val="{60476836-AAF0-4034-A0A8-F080BCACE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40"/>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6"/>
      <w:ind w:left="860" w:hanging="36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727E"/>
    <w:pPr>
      <w:tabs>
        <w:tab w:val="center" w:pos="4680"/>
        <w:tab w:val="right" w:pos="9360"/>
      </w:tabs>
    </w:pPr>
  </w:style>
  <w:style w:type="character" w:customStyle="1" w:styleId="HeaderChar">
    <w:name w:val="Header Char"/>
    <w:basedOn w:val="DefaultParagraphFont"/>
    <w:link w:val="Header"/>
    <w:uiPriority w:val="99"/>
    <w:rsid w:val="00DB727E"/>
  </w:style>
  <w:style w:type="paragraph" w:styleId="Footer">
    <w:name w:val="footer"/>
    <w:basedOn w:val="Normal"/>
    <w:link w:val="FooterChar"/>
    <w:uiPriority w:val="99"/>
    <w:unhideWhenUsed/>
    <w:rsid w:val="00DB727E"/>
    <w:pPr>
      <w:tabs>
        <w:tab w:val="center" w:pos="4680"/>
        <w:tab w:val="right" w:pos="9360"/>
      </w:tabs>
    </w:pPr>
  </w:style>
  <w:style w:type="character" w:customStyle="1" w:styleId="FooterChar">
    <w:name w:val="Footer Char"/>
    <w:basedOn w:val="DefaultParagraphFont"/>
    <w:link w:val="Footer"/>
    <w:uiPriority w:val="99"/>
    <w:rsid w:val="00DB727E"/>
  </w:style>
  <w:style w:type="paragraph" w:styleId="BalloonText">
    <w:name w:val="Balloon Text"/>
    <w:basedOn w:val="Normal"/>
    <w:link w:val="BalloonTextChar"/>
    <w:uiPriority w:val="99"/>
    <w:semiHidden/>
    <w:unhideWhenUsed/>
    <w:rsid w:val="00DB72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27E"/>
    <w:rPr>
      <w:rFonts w:ascii="Segoe UI" w:hAnsi="Segoe UI" w:cs="Segoe UI"/>
      <w:sz w:val="18"/>
      <w:szCs w:val="18"/>
    </w:rPr>
  </w:style>
  <w:style w:type="character" w:styleId="CommentReference">
    <w:name w:val="annotation reference"/>
    <w:basedOn w:val="DefaultParagraphFont"/>
    <w:uiPriority w:val="99"/>
    <w:semiHidden/>
    <w:unhideWhenUsed/>
    <w:rsid w:val="006512C6"/>
    <w:rPr>
      <w:sz w:val="16"/>
      <w:szCs w:val="16"/>
    </w:rPr>
  </w:style>
  <w:style w:type="paragraph" w:styleId="CommentText">
    <w:name w:val="annotation text"/>
    <w:basedOn w:val="Normal"/>
    <w:link w:val="CommentTextChar"/>
    <w:uiPriority w:val="99"/>
    <w:unhideWhenUsed/>
    <w:rsid w:val="006512C6"/>
    <w:rPr>
      <w:sz w:val="20"/>
      <w:szCs w:val="20"/>
    </w:rPr>
  </w:style>
  <w:style w:type="character" w:customStyle="1" w:styleId="CommentTextChar">
    <w:name w:val="Comment Text Char"/>
    <w:basedOn w:val="DefaultParagraphFont"/>
    <w:link w:val="CommentText"/>
    <w:uiPriority w:val="99"/>
    <w:rsid w:val="006512C6"/>
    <w:rPr>
      <w:sz w:val="20"/>
      <w:szCs w:val="20"/>
    </w:rPr>
  </w:style>
  <w:style w:type="paragraph" w:styleId="CommentSubject">
    <w:name w:val="annotation subject"/>
    <w:basedOn w:val="CommentText"/>
    <w:next w:val="CommentText"/>
    <w:link w:val="CommentSubjectChar"/>
    <w:uiPriority w:val="99"/>
    <w:semiHidden/>
    <w:unhideWhenUsed/>
    <w:rsid w:val="006512C6"/>
    <w:rPr>
      <w:b/>
      <w:bCs/>
    </w:rPr>
  </w:style>
  <w:style w:type="character" w:customStyle="1" w:styleId="CommentSubjectChar">
    <w:name w:val="Comment Subject Char"/>
    <w:basedOn w:val="CommentTextChar"/>
    <w:link w:val="CommentSubject"/>
    <w:uiPriority w:val="99"/>
    <w:semiHidden/>
    <w:rsid w:val="006512C6"/>
    <w:rPr>
      <w:b/>
      <w:bCs/>
      <w:sz w:val="20"/>
      <w:szCs w:val="20"/>
    </w:rPr>
  </w:style>
  <w:style w:type="character" w:styleId="Hyperlink">
    <w:name w:val="Hyperlink"/>
    <w:basedOn w:val="DefaultParagraphFont"/>
    <w:uiPriority w:val="99"/>
    <w:unhideWhenUsed/>
    <w:rsid w:val="006675D9"/>
    <w:rPr>
      <w:color w:val="0000FF" w:themeColor="hyperlink"/>
      <w:u w:val="single"/>
    </w:rPr>
  </w:style>
  <w:style w:type="character" w:styleId="UnresolvedMention">
    <w:name w:val="Unresolved Mention"/>
    <w:basedOn w:val="DefaultParagraphFont"/>
    <w:uiPriority w:val="99"/>
    <w:semiHidden/>
    <w:unhideWhenUsed/>
    <w:rsid w:val="006675D9"/>
    <w:rPr>
      <w:color w:val="605E5C"/>
      <w:shd w:val="clear" w:color="auto" w:fill="E1DFDD"/>
    </w:rPr>
  </w:style>
  <w:style w:type="paragraph" w:styleId="FootnoteText">
    <w:name w:val="footnote text"/>
    <w:basedOn w:val="Normal"/>
    <w:link w:val="FootnoteTextChar"/>
    <w:uiPriority w:val="99"/>
    <w:semiHidden/>
    <w:unhideWhenUsed/>
    <w:rsid w:val="00E137ED"/>
    <w:rPr>
      <w:sz w:val="20"/>
      <w:szCs w:val="20"/>
    </w:rPr>
  </w:style>
  <w:style w:type="character" w:customStyle="1" w:styleId="FootnoteTextChar">
    <w:name w:val="Footnote Text Char"/>
    <w:basedOn w:val="DefaultParagraphFont"/>
    <w:link w:val="FootnoteText"/>
    <w:uiPriority w:val="99"/>
    <w:semiHidden/>
    <w:rsid w:val="00E137ED"/>
    <w:rPr>
      <w:sz w:val="20"/>
      <w:szCs w:val="20"/>
    </w:rPr>
  </w:style>
  <w:style w:type="character" w:styleId="FootnoteReference">
    <w:name w:val="footnote reference"/>
    <w:basedOn w:val="DefaultParagraphFont"/>
    <w:uiPriority w:val="99"/>
    <w:semiHidden/>
    <w:unhideWhenUsed/>
    <w:rsid w:val="00E137ED"/>
    <w:rPr>
      <w:vertAlign w:val="superscript"/>
    </w:rPr>
  </w:style>
  <w:style w:type="character" w:styleId="FollowedHyperlink">
    <w:name w:val="FollowedHyperlink"/>
    <w:basedOn w:val="DefaultParagraphFont"/>
    <w:uiPriority w:val="99"/>
    <w:semiHidden/>
    <w:unhideWhenUsed/>
    <w:rsid w:val="00215426"/>
    <w:rPr>
      <w:color w:val="800080" w:themeColor="followedHyperlink"/>
      <w:u w:val="single"/>
    </w:rPr>
  </w:style>
  <w:style w:type="paragraph" w:styleId="Revision">
    <w:name w:val="Revision"/>
    <w:hidden/>
    <w:uiPriority w:val="99"/>
    <w:semiHidden/>
    <w:rsid w:val="00781F89"/>
    <w:pPr>
      <w:widowControl/>
    </w:pPr>
  </w:style>
  <w:style w:type="paragraph" w:customStyle="1" w:styleId="Default">
    <w:name w:val="Default"/>
    <w:rsid w:val="00D65E1C"/>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small@hugesse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liu@hugesse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sslewis.com/wp-content/uploads/2021/11/Canada-Voting-Guidelines-GL-2022.pdf?hsCtaTracking=d62ce515-1858-4541-99d0-1bb9bc0f7f4b%7Cb73b5fb0-8d9a-4021-a6b2-ad683c483c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ssgovernance.com/file/policy/latest/updates/Americas-Policy-Update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C5412-B912-46F5-A597-38CE8A85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1583</Words>
  <Characters>9026</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McKellar</dc:creator>
  <cp:lastModifiedBy>Kathy Montenegro</cp:lastModifiedBy>
  <cp:revision>2</cp:revision>
  <cp:lastPrinted>2020-12-10T21:37:00Z</cp:lastPrinted>
  <dcterms:created xsi:type="dcterms:W3CDTF">2022-02-01T15:22:00Z</dcterms:created>
  <dcterms:modified xsi:type="dcterms:W3CDTF">2022-02-01T15:22:00Z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LastSaved">
    <vt:filetime>2019-11-26T00:00:00Z</vt:filetime>
  </property>
</Properties>
</file>